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71E5" w:rsidRPr="00D10D73" w:rsidRDefault="004B71E5" w:rsidP="009A0E1D">
      <w:pPr>
        <w:pStyle w:val="PlainText"/>
        <w:tabs>
          <w:tab w:val="left" w:pos="7230"/>
        </w:tabs>
        <w:ind w:right="-1"/>
        <w:jc w:val="both"/>
        <w:rPr>
          <w:rFonts w:asciiTheme="minorHAnsi" w:eastAsia="MS Mincho" w:hAnsiTheme="minorHAnsi" w:cs="Arial"/>
          <w:sz w:val="22"/>
          <w:szCs w:val="22"/>
        </w:rPr>
      </w:pPr>
      <w:r w:rsidRPr="00D10D73">
        <w:rPr>
          <w:rFonts w:asciiTheme="minorHAnsi" w:eastAsia="MS Mincho" w:hAnsiTheme="minorHAnsi" w:cs="Arial"/>
          <w:b/>
          <w:bCs/>
          <w:sz w:val="22"/>
          <w:szCs w:val="22"/>
        </w:rPr>
        <w:t xml:space="preserve">SRI </w:t>
      </w:r>
      <w:r w:rsidR="00D10D73">
        <w:rPr>
          <w:rFonts w:asciiTheme="minorHAnsi" w:eastAsia="MS Mincho" w:hAnsiTheme="minorHAnsi" w:cs="Arial"/>
          <w:b/>
          <w:bCs/>
          <w:sz w:val="22"/>
          <w:szCs w:val="22"/>
        </w:rPr>
        <w:t xml:space="preserve">RAMAKRISHNA MILLS (COIMBATORE) </w:t>
      </w:r>
      <w:r w:rsidRPr="00D10D73">
        <w:rPr>
          <w:rFonts w:asciiTheme="minorHAnsi" w:eastAsia="MS Mincho" w:hAnsiTheme="minorHAnsi" w:cs="Arial"/>
          <w:b/>
          <w:bCs/>
          <w:sz w:val="22"/>
          <w:szCs w:val="22"/>
        </w:rPr>
        <w:t>LIMITED</w:t>
      </w:r>
      <w:r w:rsidR="007A189B">
        <w:rPr>
          <w:rFonts w:asciiTheme="minorHAnsi" w:eastAsia="MS Mincho" w:hAnsiTheme="minorHAnsi" w:cs="Arial"/>
          <w:b/>
          <w:bCs/>
          <w:sz w:val="22"/>
          <w:szCs w:val="22"/>
        </w:rPr>
        <w:t xml:space="preserve"> </w:t>
      </w:r>
    </w:p>
    <w:p w:rsidR="004B71E5" w:rsidRPr="00D10D73" w:rsidRDefault="004B71E5" w:rsidP="007A189B">
      <w:pPr>
        <w:pStyle w:val="PlainText"/>
        <w:tabs>
          <w:tab w:val="left" w:pos="7230"/>
        </w:tabs>
        <w:ind w:left="680" w:right="-1"/>
        <w:jc w:val="both"/>
        <w:rPr>
          <w:rFonts w:asciiTheme="minorHAnsi" w:eastAsia="MS Mincho" w:hAnsiTheme="minorHAnsi" w:cs="Arial"/>
          <w:b/>
          <w:bCs/>
          <w:sz w:val="22"/>
          <w:szCs w:val="22"/>
        </w:rPr>
      </w:pPr>
    </w:p>
    <w:tbl>
      <w:tblPr>
        <w:tblW w:w="10604" w:type="dxa"/>
        <w:tblInd w:w="-743" w:type="dxa"/>
        <w:tblLayout w:type="fixed"/>
        <w:tblLook w:val="0000"/>
      </w:tblPr>
      <w:tblGrid>
        <w:gridCol w:w="284"/>
        <w:gridCol w:w="250"/>
        <w:gridCol w:w="33"/>
        <w:gridCol w:w="9782"/>
        <w:gridCol w:w="255"/>
      </w:tblGrid>
      <w:tr w:rsidR="004B71E5" w:rsidRPr="00D10D73" w:rsidTr="00EE766E">
        <w:trPr>
          <w:gridAfter w:val="1"/>
          <w:wAfter w:w="255" w:type="dxa"/>
        </w:trPr>
        <w:tc>
          <w:tcPr>
            <w:tcW w:w="10349" w:type="dxa"/>
            <w:gridSpan w:val="4"/>
          </w:tcPr>
          <w:p w:rsidR="004B71E5" w:rsidRPr="00D10D73" w:rsidRDefault="00A20E30" w:rsidP="007A189B">
            <w:pPr>
              <w:pStyle w:val="PlainText"/>
              <w:tabs>
                <w:tab w:val="left" w:pos="7230"/>
              </w:tabs>
              <w:snapToGrid w:val="0"/>
              <w:ind w:left="680" w:right="-1"/>
              <w:jc w:val="both"/>
              <w:rPr>
                <w:rFonts w:asciiTheme="minorHAnsi" w:hAnsiTheme="minorHAnsi" w:cs="Arial"/>
                <w:b/>
                <w:bCs/>
                <w:sz w:val="22"/>
                <w:szCs w:val="22"/>
              </w:rPr>
            </w:pPr>
            <w:r w:rsidRPr="00D10D73">
              <w:rPr>
                <w:rFonts w:asciiTheme="minorHAnsi" w:hAnsiTheme="minorHAnsi" w:cs="Arial"/>
                <w:b/>
                <w:bCs/>
                <w:sz w:val="22"/>
                <w:szCs w:val="22"/>
              </w:rPr>
              <w:t xml:space="preserve">1 </w:t>
            </w:r>
            <w:r w:rsidR="004B71E5" w:rsidRPr="00D10D73">
              <w:rPr>
                <w:rFonts w:asciiTheme="minorHAnsi" w:hAnsiTheme="minorHAnsi" w:cs="Arial"/>
                <w:b/>
                <w:bCs/>
                <w:sz w:val="22"/>
                <w:szCs w:val="22"/>
              </w:rPr>
              <w:t>Significant Accounting Policies</w:t>
            </w:r>
          </w:p>
          <w:p w:rsidR="004B71E5" w:rsidRPr="00D10D73" w:rsidRDefault="004B71E5" w:rsidP="007A189B">
            <w:pPr>
              <w:pStyle w:val="PlainText"/>
              <w:tabs>
                <w:tab w:val="left" w:pos="7230"/>
              </w:tabs>
              <w:ind w:left="680" w:right="-1"/>
              <w:jc w:val="both"/>
              <w:rPr>
                <w:rFonts w:asciiTheme="minorHAnsi" w:hAnsiTheme="minorHAnsi" w:cs="Arial"/>
                <w:sz w:val="22"/>
                <w:szCs w:val="22"/>
              </w:rPr>
            </w:pPr>
            <w:r w:rsidRPr="00D10D73">
              <w:rPr>
                <w:rFonts w:asciiTheme="minorHAnsi" w:hAnsiTheme="minorHAnsi" w:cs="Arial"/>
                <w:sz w:val="22"/>
                <w:szCs w:val="22"/>
              </w:rPr>
              <w:t>(In the order of applicability of Accounting Standards)</w:t>
            </w:r>
          </w:p>
        </w:tc>
      </w:tr>
      <w:tr w:rsidR="004B71E5" w:rsidRPr="00D10D73" w:rsidTr="00EE766E">
        <w:trPr>
          <w:gridAfter w:val="1"/>
          <w:wAfter w:w="255" w:type="dxa"/>
        </w:trPr>
        <w:tc>
          <w:tcPr>
            <w:tcW w:w="10349" w:type="dxa"/>
            <w:gridSpan w:val="4"/>
          </w:tcPr>
          <w:p w:rsidR="004B71E5" w:rsidRPr="00D10D73" w:rsidRDefault="004B71E5" w:rsidP="007A189B">
            <w:pPr>
              <w:pStyle w:val="Heading1"/>
              <w:numPr>
                <w:ilvl w:val="0"/>
                <w:numId w:val="2"/>
              </w:numPr>
              <w:tabs>
                <w:tab w:val="left" w:pos="7230"/>
              </w:tabs>
              <w:snapToGrid w:val="0"/>
              <w:ind w:left="680" w:right="-1"/>
              <w:jc w:val="both"/>
              <w:rPr>
                <w:rFonts w:asciiTheme="minorHAnsi" w:hAnsiTheme="minorHAnsi"/>
                <w:szCs w:val="22"/>
              </w:rPr>
            </w:pPr>
          </w:p>
        </w:tc>
      </w:tr>
      <w:tr w:rsidR="004B71E5" w:rsidRPr="00D10D73" w:rsidTr="00EE766E">
        <w:trPr>
          <w:gridAfter w:val="1"/>
          <w:wAfter w:w="255" w:type="dxa"/>
        </w:trPr>
        <w:tc>
          <w:tcPr>
            <w:tcW w:w="10349" w:type="dxa"/>
            <w:gridSpan w:val="4"/>
          </w:tcPr>
          <w:p w:rsidR="004B71E5" w:rsidRPr="00D10D73" w:rsidRDefault="004B71E5" w:rsidP="00EE766E">
            <w:pPr>
              <w:pStyle w:val="Heading1"/>
              <w:tabs>
                <w:tab w:val="clear" w:pos="0"/>
                <w:tab w:val="left" w:pos="7230"/>
              </w:tabs>
              <w:snapToGrid w:val="0"/>
              <w:ind w:left="680" w:right="-1"/>
              <w:jc w:val="both"/>
              <w:rPr>
                <w:rStyle w:val="HTMLTypewriter"/>
                <w:rFonts w:asciiTheme="minorHAnsi" w:hAnsiTheme="minorHAnsi" w:cs="Arial"/>
                <w:sz w:val="22"/>
                <w:szCs w:val="22"/>
                <w:u w:val="single"/>
              </w:rPr>
            </w:pPr>
            <w:r w:rsidRPr="00D10D73">
              <w:rPr>
                <w:rStyle w:val="HTMLTypewriter"/>
                <w:rFonts w:asciiTheme="minorHAnsi" w:hAnsiTheme="minorHAnsi" w:cs="Arial"/>
                <w:sz w:val="22"/>
                <w:szCs w:val="22"/>
                <w:u w:val="single"/>
              </w:rPr>
              <w:t>AS-1   DISCLOSURE AND BASIS OF ACCOUNTING</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a)</w:t>
            </w:r>
          </w:p>
        </w:tc>
        <w:tc>
          <w:tcPr>
            <w:tcW w:w="9782" w:type="dxa"/>
          </w:tcPr>
          <w:p w:rsidR="004B71E5" w:rsidRPr="00D10D73" w:rsidRDefault="004B71E5" w:rsidP="00EE766E">
            <w:pPr>
              <w:pStyle w:val="PlainText"/>
              <w:tabs>
                <w:tab w:val="left" w:pos="7230"/>
              </w:tabs>
              <w:snapToGrid w:val="0"/>
              <w:ind w:left="34" w:right="-1"/>
              <w:jc w:val="both"/>
              <w:rPr>
                <w:rStyle w:val="HTMLTypewriter"/>
                <w:rFonts w:asciiTheme="minorHAnsi" w:eastAsia="Times New Roman" w:hAnsiTheme="minorHAnsi" w:cs="Arial"/>
                <w:kern w:val="1"/>
                <w:sz w:val="22"/>
                <w:szCs w:val="22"/>
              </w:rPr>
            </w:pPr>
            <w:r w:rsidRPr="00D10D73">
              <w:rPr>
                <w:rFonts w:asciiTheme="minorHAnsi" w:hAnsiTheme="minorHAnsi" w:cs="Arial"/>
                <w:kern w:val="1"/>
                <w:sz w:val="22"/>
                <w:szCs w:val="22"/>
              </w:rPr>
              <w:t>The Financial Statements have been prepared under the Historical cost convention in accordance with the provisions of</w:t>
            </w:r>
            <w:r w:rsidRPr="00D10D73">
              <w:rPr>
                <w:rStyle w:val="HTMLTypewriter"/>
                <w:rFonts w:asciiTheme="minorHAnsi" w:eastAsia="Times New Roman" w:hAnsiTheme="minorHAnsi" w:cs="Arial"/>
                <w:kern w:val="1"/>
                <w:sz w:val="22"/>
                <w:szCs w:val="22"/>
              </w:rPr>
              <w:t xml:space="preserve"> the Companies Act, </w:t>
            </w:r>
            <w:r w:rsidR="00952683" w:rsidRPr="00D10D73">
              <w:rPr>
                <w:rStyle w:val="HTMLTypewriter"/>
                <w:rFonts w:asciiTheme="minorHAnsi" w:eastAsia="Times New Roman" w:hAnsiTheme="minorHAnsi" w:cs="Arial"/>
                <w:kern w:val="1"/>
                <w:sz w:val="22"/>
                <w:szCs w:val="22"/>
              </w:rPr>
              <w:t>2013</w:t>
            </w:r>
            <w:r w:rsidR="003E0FDF" w:rsidRPr="00D10D73">
              <w:rPr>
                <w:rStyle w:val="HTMLTypewriter"/>
                <w:rFonts w:asciiTheme="minorHAnsi" w:eastAsia="Times New Roman" w:hAnsiTheme="minorHAnsi" w:cs="Arial"/>
                <w:kern w:val="1"/>
                <w:sz w:val="22"/>
                <w:szCs w:val="22"/>
              </w:rPr>
              <w:t xml:space="preserve"> and accounting principles generally accepted in India and comply with the Accounting Standards as prescribed under 133 of the Companies Act, 2013 read with Rule 7 of the Companies (Accounts) Rules, 2014, provisions of Companies Act,</w:t>
            </w:r>
            <w:r w:rsidR="00EE766E">
              <w:rPr>
                <w:rStyle w:val="HTMLTypewriter"/>
                <w:rFonts w:asciiTheme="minorHAnsi" w:eastAsia="Times New Roman" w:hAnsiTheme="minorHAnsi" w:cs="Arial"/>
                <w:kern w:val="1"/>
                <w:sz w:val="22"/>
                <w:szCs w:val="22"/>
              </w:rPr>
              <w:t xml:space="preserve"> </w:t>
            </w:r>
            <w:r w:rsidR="003E0FDF" w:rsidRPr="00D10D73">
              <w:rPr>
                <w:rStyle w:val="HTMLTypewriter"/>
                <w:rFonts w:asciiTheme="minorHAnsi" w:eastAsia="Times New Roman" w:hAnsiTheme="minorHAnsi" w:cs="Arial"/>
                <w:kern w:val="1"/>
                <w:sz w:val="22"/>
                <w:szCs w:val="22"/>
              </w:rPr>
              <w:t>2013 to the extent notified. Accounting policies have been consistently applied except where a newly issued Accounting Standard is initially adopted or a revision to an existing Accounting Standard requires a change in the accounting policy hitherto in use.</w:t>
            </w:r>
          </w:p>
        </w:tc>
      </w:tr>
      <w:tr w:rsidR="004B71E5" w:rsidRPr="00D10D73" w:rsidTr="00EE766E">
        <w:trPr>
          <w:gridAfter w:val="1"/>
          <w:wAfter w:w="255" w:type="dxa"/>
          <w:trHeight w:val="159"/>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9782" w:type="dxa"/>
          </w:tcPr>
          <w:p w:rsidR="004B71E5" w:rsidRPr="00D10D73" w:rsidRDefault="004B71E5" w:rsidP="007A189B">
            <w:pPr>
              <w:pStyle w:val="PlainText"/>
              <w:tabs>
                <w:tab w:val="left" w:pos="7230"/>
              </w:tabs>
              <w:snapToGrid w:val="0"/>
              <w:ind w:left="176" w:right="-1"/>
              <w:jc w:val="both"/>
              <w:rPr>
                <w:rFonts w:asciiTheme="minorHAnsi" w:hAnsiTheme="minorHAnsi" w:cs="Arial"/>
                <w:sz w:val="22"/>
                <w:szCs w:val="22"/>
              </w:rPr>
            </w:pP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b)</w:t>
            </w:r>
          </w:p>
        </w:tc>
        <w:tc>
          <w:tcPr>
            <w:tcW w:w="9782" w:type="dxa"/>
          </w:tcPr>
          <w:p w:rsidR="004B71E5" w:rsidRPr="00D10D73" w:rsidRDefault="004B71E5" w:rsidP="00EE766E">
            <w:pPr>
              <w:pStyle w:val="PlainText"/>
              <w:tabs>
                <w:tab w:val="left" w:pos="7230"/>
              </w:tabs>
              <w:snapToGrid w:val="0"/>
              <w:ind w:left="34"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The Company has been consistently following the accrual basis of accounting in respect of its Income and Expenditure.</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9782" w:type="dxa"/>
          </w:tcPr>
          <w:p w:rsidR="004B71E5" w:rsidRPr="00D10D73" w:rsidRDefault="004B71E5" w:rsidP="007A189B">
            <w:pPr>
              <w:pStyle w:val="PlainText"/>
              <w:tabs>
                <w:tab w:val="left" w:pos="7230"/>
              </w:tabs>
              <w:snapToGrid w:val="0"/>
              <w:ind w:left="176" w:right="-1"/>
              <w:jc w:val="both"/>
              <w:rPr>
                <w:rFonts w:asciiTheme="minorHAnsi" w:hAnsiTheme="minorHAnsi" w:cs="Arial"/>
                <w:sz w:val="22"/>
                <w:szCs w:val="22"/>
              </w:rPr>
            </w:pP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c)</w:t>
            </w:r>
          </w:p>
        </w:tc>
        <w:tc>
          <w:tcPr>
            <w:tcW w:w="9782" w:type="dxa"/>
          </w:tcPr>
          <w:p w:rsidR="004B71E5" w:rsidRPr="00D10D73" w:rsidRDefault="004B71E5" w:rsidP="00EE766E">
            <w:pPr>
              <w:pStyle w:val="PlainText"/>
              <w:tabs>
                <w:tab w:val="left" w:pos="7230"/>
              </w:tabs>
              <w:snapToGrid w:val="0"/>
              <w:ind w:left="34"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The Accounts are prepared on the basis of Going Concern concept only.</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9782" w:type="dxa"/>
          </w:tcPr>
          <w:p w:rsidR="004B71E5" w:rsidRPr="00D10D73" w:rsidRDefault="004B71E5" w:rsidP="007A189B">
            <w:pPr>
              <w:pStyle w:val="PlainText"/>
              <w:tabs>
                <w:tab w:val="left" w:pos="7230"/>
              </w:tabs>
              <w:snapToGrid w:val="0"/>
              <w:ind w:left="680" w:right="-1"/>
              <w:jc w:val="both"/>
              <w:rPr>
                <w:rFonts w:asciiTheme="minorHAnsi" w:hAnsiTheme="minorHAnsi" w:cs="Arial"/>
                <w:sz w:val="22"/>
                <w:szCs w:val="22"/>
              </w:rPr>
            </w:pPr>
          </w:p>
        </w:tc>
      </w:tr>
      <w:tr w:rsidR="004B71E5" w:rsidRPr="00D10D73" w:rsidTr="00EE766E">
        <w:trPr>
          <w:gridAfter w:val="1"/>
          <w:wAfter w:w="255" w:type="dxa"/>
        </w:trPr>
        <w:tc>
          <w:tcPr>
            <w:tcW w:w="10349" w:type="dxa"/>
            <w:gridSpan w:val="4"/>
          </w:tcPr>
          <w:p w:rsidR="004B71E5" w:rsidRPr="00D10D73" w:rsidRDefault="004B71E5" w:rsidP="007A189B">
            <w:pPr>
              <w:pStyle w:val="PlainText"/>
              <w:tabs>
                <w:tab w:val="left" w:pos="7230"/>
              </w:tabs>
              <w:snapToGrid w:val="0"/>
              <w:ind w:left="680" w:right="-1" w:firstLine="63"/>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AS-2  VALUATION OF INVENTORIES</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9782" w:type="dxa"/>
          </w:tcPr>
          <w:p w:rsidR="004B71E5" w:rsidRDefault="004B71E5" w:rsidP="00A30493">
            <w:pPr>
              <w:pStyle w:val="HTMLPreformatted"/>
              <w:tabs>
                <w:tab w:val="left" w:pos="7230"/>
              </w:tabs>
              <w:snapToGrid w:val="0"/>
              <w:ind w:left="176"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Inventories  are valued at lower of cost and net realizable value, where</w:t>
            </w:r>
          </w:p>
          <w:p w:rsidR="00A30493" w:rsidRPr="00D10D73" w:rsidRDefault="00A30493" w:rsidP="00A30493">
            <w:pPr>
              <w:pStyle w:val="HTMLPreformatted"/>
              <w:tabs>
                <w:tab w:val="left" w:pos="7230"/>
              </w:tabs>
              <w:snapToGrid w:val="0"/>
              <w:ind w:left="176" w:right="-1"/>
              <w:jc w:val="both"/>
              <w:rPr>
                <w:rStyle w:val="HTMLTypewriter"/>
                <w:rFonts w:asciiTheme="minorHAnsi" w:hAnsiTheme="minorHAnsi" w:cs="Arial"/>
                <w:sz w:val="22"/>
                <w:szCs w:val="22"/>
              </w:rPr>
            </w:pP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r w:rsidRPr="00D10D73">
              <w:rPr>
                <w:rFonts w:asciiTheme="minorHAnsi" w:eastAsia="MS Mincho" w:hAnsiTheme="minorHAnsi" w:cs="Arial"/>
                <w:sz w:val="22"/>
                <w:szCs w:val="22"/>
              </w:rPr>
              <w:t>a)</w:t>
            </w:r>
          </w:p>
        </w:tc>
        <w:tc>
          <w:tcPr>
            <w:tcW w:w="9782" w:type="dxa"/>
          </w:tcPr>
          <w:p w:rsidR="004B71E5" w:rsidRPr="00D10D73" w:rsidRDefault="004B71E5" w:rsidP="00A30493">
            <w:pPr>
              <w:pStyle w:val="HTMLPreformatted"/>
              <w:tabs>
                <w:tab w:val="left" w:pos="7230"/>
              </w:tabs>
              <w:snapToGrid w:val="0"/>
              <w:ind w:left="176" w:right="-1"/>
              <w:jc w:val="both"/>
              <w:rPr>
                <w:rFonts w:asciiTheme="minorHAnsi" w:hAnsiTheme="minorHAnsi" w:cs="Arial"/>
                <w:sz w:val="22"/>
                <w:szCs w:val="22"/>
              </w:rPr>
            </w:pPr>
            <w:r w:rsidRPr="00D10D73">
              <w:rPr>
                <w:rFonts w:asciiTheme="minorHAnsi" w:eastAsia="Times New Roman" w:hAnsiTheme="minorHAnsi" w:cs="Arial"/>
                <w:sz w:val="22"/>
                <w:szCs w:val="22"/>
              </w:rPr>
              <w:t>Cost of raw materials is determined on specific identification</w:t>
            </w:r>
            <w:r w:rsidRPr="00D10D73">
              <w:rPr>
                <w:rFonts w:asciiTheme="minorHAnsi" w:hAnsiTheme="minorHAnsi" w:cs="Arial"/>
                <w:sz w:val="22"/>
                <w:szCs w:val="22"/>
              </w:rPr>
              <w:t xml:space="preserve"> method</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r w:rsidRPr="00D10D73">
              <w:rPr>
                <w:rFonts w:asciiTheme="minorHAnsi" w:eastAsia="MS Mincho" w:hAnsiTheme="minorHAnsi" w:cs="Arial"/>
                <w:sz w:val="22"/>
                <w:szCs w:val="22"/>
              </w:rPr>
              <w:t>b)</w:t>
            </w:r>
          </w:p>
        </w:tc>
        <w:tc>
          <w:tcPr>
            <w:tcW w:w="9782" w:type="dxa"/>
          </w:tcPr>
          <w:p w:rsidR="004B71E5" w:rsidRPr="00D10D73" w:rsidRDefault="004B71E5" w:rsidP="00A30493">
            <w:pPr>
              <w:pStyle w:val="HTMLPreformatted"/>
              <w:tabs>
                <w:tab w:val="left" w:pos="7230"/>
              </w:tabs>
              <w:snapToGrid w:val="0"/>
              <w:ind w:left="176" w:right="-1"/>
              <w:jc w:val="both"/>
              <w:rPr>
                <w:rFonts w:asciiTheme="minorHAnsi" w:hAnsiTheme="minorHAnsi" w:cs="Arial"/>
                <w:sz w:val="22"/>
                <w:szCs w:val="22"/>
              </w:rPr>
            </w:pPr>
            <w:r w:rsidRPr="00D10D73">
              <w:rPr>
                <w:rFonts w:asciiTheme="minorHAnsi" w:eastAsia="Times New Roman" w:hAnsiTheme="minorHAnsi" w:cs="Arial"/>
                <w:sz w:val="22"/>
                <w:szCs w:val="22"/>
              </w:rPr>
              <w:t>Stock of stores, spares and packing materials is determined on</w:t>
            </w:r>
            <w:r w:rsidRPr="00D10D73">
              <w:rPr>
                <w:rFonts w:asciiTheme="minorHAnsi" w:hAnsiTheme="minorHAnsi" w:cs="Arial"/>
                <w:sz w:val="22"/>
                <w:szCs w:val="22"/>
              </w:rPr>
              <w:t xml:space="preserve"> weighted average method.</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r w:rsidRPr="00D10D73">
              <w:rPr>
                <w:rFonts w:asciiTheme="minorHAnsi" w:eastAsia="MS Mincho" w:hAnsiTheme="minorHAnsi" w:cs="Arial"/>
                <w:sz w:val="22"/>
                <w:szCs w:val="22"/>
              </w:rPr>
              <w:t>c)</w:t>
            </w:r>
          </w:p>
        </w:tc>
        <w:tc>
          <w:tcPr>
            <w:tcW w:w="9782" w:type="dxa"/>
          </w:tcPr>
          <w:p w:rsidR="004B71E5" w:rsidRPr="00D10D73" w:rsidRDefault="004B71E5" w:rsidP="00A30493">
            <w:pPr>
              <w:pStyle w:val="HTMLPreformatted"/>
              <w:tabs>
                <w:tab w:val="left" w:pos="7230"/>
              </w:tabs>
              <w:snapToGrid w:val="0"/>
              <w:ind w:left="176" w:right="-1"/>
              <w:jc w:val="both"/>
              <w:rPr>
                <w:rFonts w:asciiTheme="minorHAnsi" w:hAnsiTheme="minorHAnsi" w:cs="Arial"/>
                <w:sz w:val="22"/>
                <w:szCs w:val="22"/>
              </w:rPr>
            </w:pPr>
            <w:r w:rsidRPr="00D10D73">
              <w:rPr>
                <w:rFonts w:asciiTheme="minorHAnsi" w:hAnsiTheme="minorHAnsi" w:cs="Arial"/>
                <w:sz w:val="22"/>
                <w:szCs w:val="22"/>
              </w:rPr>
              <w:t>Finished goods and work in progress is determined under FIFO method where cost includes conversion and other costs incurred in bringing the inventories to their present location and condition.</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9782" w:type="dxa"/>
          </w:tcPr>
          <w:p w:rsidR="004B71E5" w:rsidRPr="00D10D73" w:rsidRDefault="004B71E5" w:rsidP="007A189B">
            <w:pPr>
              <w:pStyle w:val="HTMLPreformatted"/>
              <w:tabs>
                <w:tab w:val="left" w:pos="7230"/>
              </w:tabs>
              <w:snapToGrid w:val="0"/>
              <w:ind w:left="680" w:right="-1"/>
              <w:jc w:val="both"/>
              <w:rPr>
                <w:rFonts w:asciiTheme="minorHAnsi" w:hAnsiTheme="minorHAnsi" w:cs="Arial"/>
                <w:sz w:val="22"/>
                <w:szCs w:val="22"/>
              </w:rPr>
            </w:pPr>
          </w:p>
        </w:tc>
      </w:tr>
      <w:tr w:rsidR="004B71E5" w:rsidRPr="00D10D73" w:rsidTr="00EE766E">
        <w:trPr>
          <w:gridAfter w:val="1"/>
          <w:wAfter w:w="255" w:type="dxa"/>
        </w:trPr>
        <w:tc>
          <w:tcPr>
            <w:tcW w:w="10349" w:type="dxa"/>
            <w:gridSpan w:val="4"/>
          </w:tcPr>
          <w:p w:rsidR="004B71E5" w:rsidRPr="00D10D73" w:rsidRDefault="004B71E5" w:rsidP="00A30493">
            <w:pPr>
              <w:pStyle w:val="HTMLPreformatted"/>
              <w:tabs>
                <w:tab w:val="left" w:pos="7230"/>
              </w:tabs>
              <w:snapToGrid w:val="0"/>
              <w:ind w:left="680" w:right="-1" w:firstLine="63"/>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AS- 3 CASH FLOW STATEMENT</w:t>
            </w:r>
          </w:p>
        </w:tc>
      </w:tr>
      <w:tr w:rsidR="004B71E5" w:rsidRPr="00D10D73" w:rsidTr="00EE766E">
        <w:trPr>
          <w:gridAfter w:val="1"/>
          <w:wAfter w:w="255" w:type="dxa"/>
        </w:trPr>
        <w:tc>
          <w:tcPr>
            <w:tcW w:w="567" w:type="dxa"/>
            <w:gridSpan w:val="3"/>
          </w:tcPr>
          <w:p w:rsidR="004B71E5" w:rsidRPr="00D10D73" w:rsidRDefault="004B71E5" w:rsidP="007A189B">
            <w:pPr>
              <w:pStyle w:val="HTMLPreformatted"/>
              <w:tabs>
                <w:tab w:val="left" w:pos="7230"/>
              </w:tabs>
              <w:snapToGrid w:val="0"/>
              <w:ind w:left="680" w:right="-1"/>
              <w:jc w:val="both"/>
              <w:rPr>
                <w:rFonts w:asciiTheme="minorHAnsi" w:eastAsia="MS Mincho" w:hAnsiTheme="minorHAnsi" w:cs="Arial"/>
                <w:sz w:val="22"/>
                <w:szCs w:val="22"/>
              </w:rPr>
            </w:pPr>
          </w:p>
        </w:tc>
        <w:tc>
          <w:tcPr>
            <w:tcW w:w="9782" w:type="dxa"/>
          </w:tcPr>
          <w:p w:rsidR="004B71E5" w:rsidRPr="00D10D73" w:rsidRDefault="004B71E5" w:rsidP="00A30493">
            <w:pPr>
              <w:pStyle w:val="HTMLPreformatted"/>
              <w:tabs>
                <w:tab w:val="left" w:pos="7230"/>
              </w:tabs>
              <w:snapToGrid w:val="0"/>
              <w:ind w:left="176"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Cash flows are reported using the indirect method, where by the profit before tax is adjusted for the effect of transactions of a non cash nature, any deferrals or accruals of past or future operating cash receipts or payments and items of income or expense associated with investing or financing cash flows. Cash and Cash equivalent include cash on hand and balances with banks in current and deposit accounts with necessary disclosure of cash and cash equivalent balances that are not available for you by the company.</w:t>
            </w:r>
          </w:p>
        </w:tc>
      </w:tr>
      <w:tr w:rsidR="004B71E5" w:rsidRPr="00D10D73" w:rsidTr="00EE766E">
        <w:trPr>
          <w:gridAfter w:val="1"/>
          <w:wAfter w:w="255" w:type="dxa"/>
        </w:trPr>
        <w:tc>
          <w:tcPr>
            <w:tcW w:w="567" w:type="dxa"/>
            <w:gridSpan w:val="3"/>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9782" w:type="dxa"/>
          </w:tcPr>
          <w:p w:rsidR="004B71E5" w:rsidRPr="00D10D73" w:rsidRDefault="004B71E5" w:rsidP="007A189B">
            <w:pPr>
              <w:pStyle w:val="HTMLPreformatted"/>
              <w:tabs>
                <w:tab w:val="left" w:pos="7230"/>
              </w:tabs>
              <w:snapToGrid w:val="0"/>
              <w:ind w:left="680" w:right="-1"/>
              <w:jc w:val="both"/>
              <w:rPr>
                <w:rFonts w:asciiTheme="minorHAnsi" w:hAnsiTheme="minorHAnsi" w:cs="Arial"/>
                <w:sz w:val="22"/>
                <w:szCs w:val="22"/>
              </w:rPr>
            </w:pPr>
          </w:p>
        </w:tc>
      </w:tr>
      <w:tr w:rsidR="004B71E5" w:rsidRPr="00D10D73" w:rsidTr="00EE766E">
        <w:trPr>
          <w:gridAfter w:val="1"/>
          <w:wAfter w:w="255" w:type="dxa"/>
        </w:trPr>
        <w:tc>
          <w:tcPr>
            <w:tcW w:w="10349" w:type="dxa"/>
            <w:gridSpan w:val="4"/>
          </w:tcPr>
          <w:p w:rsidR="004B71E5" w:rsidRDefault="004B71E5" w:rsidP="00A30493">
            <w:pPr>
              <w:pStyle w:val="HTMLPreformatted"/>
              <w:tabs>
                <w:tab w:val="left" w:pos="7230"/>
              </w:tabs>
              <w:snapToGrid w:val="0"/>
              <w:ind w:left="680" w:right="-1" w:firstLine="63"/>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AS-6 DEPRECIATION ACCOUNTING</w:t>
            </w:r>
          </w:p>
          <w:p w:rsidR="00A30493" w:rsidRDefault="00A30493" w:rsidP="00671142">
            <w:pPr>
              <w:pStyle w:val="HTMLPreformatted"/>
              <w:tabs>
                <w:tab w:val="left" w:pos="7230"/>
              </w:tabs>
              <w:snapToGrid w:val="0"/>
              <w:ind w:left="680"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Depreciation on Fixed Assets has been provided on Straight line basis based on the balance useful life of the assets in respect of Plant and Machineries and on WDV in respect of other assets as prescribed in Schedule II of the Companies Act, 2013 effective from 01/04/2014. In respect of additions and sales, pro rata depreciation is calculated from the date of purchase or to the date of sale as the case may be.</w:t>
            </w:r>
          </w:p>
          <w:p w:rsidR="00671142" w:rsidRDefault="00671142" w:rsidP="00A30493">
            <w:pPr>
              <w:pStyle w:val="HTMLPreformatted"/>
              <w:tabs>
                <w:tab w:val="left" w:pos="7230"/>
              </w:tabs>
              <w:snapToGrid w:val="0"/>
              <w:ind w:left="680" w:right="-1" w:firstLine="63"/>
              <w:jc w:val="both"/>
              <w:rPr>
                <w:rStyle w:val="HTMLTypewriter"/>
                <w:rFonts w:asciiTheme="minorHAnsi" w:hAnsiTheme="minorHAnsi" w:cs="Arial"/>
                <w:sz w:val="22"/>
                <w:szCs w:val="22"/>
              </w:rPr>
            </w:pPr>
          </w:p>
          <w:tbl>
            <w:tblPr>
              <w:tblW w:w="10808" w:type="dxa"/>
              <w:tblLayout w:type="fixed"/>
              <w:tblLook w:val="0000"/>
            </w:tblPr>
            <w:tblGrid>
              <w:gridCol w:w="250"/>
              <w:gridCol w:w="9393"/>
              <w:gridCol w:w="785"/>
              <w:gridCol w:w="380"/>
            </w:tblGrid>
            <w:tr w:rsidR="00671142" w:rsidRPr="00D10D73" w:rsidTr="00EE766E">
              <w:trPr>
                <w:gridAfter w:val="1"/>
                <w:wAfter w:w="380" w:type="dxa"/>
              </w:trPr>
              <w:tc>
                <w:tcPr>
                  <w:tcW w:w="10428" w:type="dxa"/>
                  <w:gridSpan w:val="3"/>
                </w:tcPr>
                <w:p w:rsidR="00671142" w:rsidRPr="00D10D73" w:rsidRDefault="00671142" w:rsidP="00671142">
                  <w:pPr>
                    <w:pStyle w:val="HTMLPreformatted"/>
                    <w:tabs>
                      <w:tab w:val="left" w:pos="7230"/>
                    </w:tabs>
                    <w:snapToGrid w:val="0"/>
                    <w:ind w:left="680" w:right="-1" w:hanging="45"/>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AS-9  REVENUE RECOGNITION</w:t>
                  </w:r>
                </w:p>
              </w:tc>
            </w:tr>
            <w:tr w:rsidR="00671142" w:rsidRPr="00D10D73" w:rsidTr="00EE766E">
              <w:tc>
                <w:tcPr>
                  <w:tcW w:w="250" w:type="dxa"/>
                </w:tcPr>
                <w:p w:rsidR="00671142" w:rsidRPr="00D10D73" w:rsidRDefault="00671142" w:rsidP="00F443B9">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a)</w:t>
                  </w:r>
                </w:p>
              </w:tc>
              <w:tc>
                <w:tcPr>
                  <w:tcW w:w="10558" w:type="dxa"/>
                  <w:gridSpan w:val="3"/>
                </w:tcPr>
                <w:p w:rsidR="00671142" w:rsidRDefault="00671142" w:rsidP="00EE766E">
                  <w:pPr>
                    <w:pStyle w:val="HTMLPreformatted"/>
                    <w:tabs>
                      <w:tab w:val="left" w:pos="7230"/>
                    </w:tabs>
                    <w:snapToGrid w:val="0"/>
                    <w:ind w:left="385" w:right="459"/>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Revenue from sale transactions is recognised as and when the property in the goods sold is transferred to the buyer for a definite consideration. Revenue from service transactions are recognised on the completion of the contract at the contracted rate and when there is no uncertainty regarding the amount of consideration or collectability.</w:t>
                  </w:r>
                </w:p>
                <w:p w:rsidR="00671142" w:rsidRPr="00D10D73" w:rsidRDefault="00671142" w:rsidP="00671142">
                  <w:pPr>
                    <w:pStyle w:val="HTMLPreformatted"/>
                    <w:tabs>
                      <w:tab w:val="left" w:pos="7230"/>
                    </w:tabs>
                    <w:snapToGrid w:val="0"/>
                    <w:ind w:left="385" w:right="-1"/>
                    <w:jc w:val="both"/>
                    <w:rPr>
                      <w:rStyle w:val="HTMLTypewriter"/>
                      <w:rFonts w:asciiTheme="minorHAnsi" w:hAnsiTheme="minorHAnsi" w:cs="Arial"/>
                      <w:sz w:val="22"/>
                      <w:szCs w:val="22"/>
                    </w:rPr>
                  </w:pPr>
                </w:p>
              </w:tc>
            </w:tr>
            <w:tr w:rsidR="00671142" w:rsidRPr="00D10D73" w:rsidTr="00EE766E">
              <w:tc>
                <w:tcPr>
                  <w:tcW w:w="250" w:type="dxa"/>
                </w:tcPr>
                <w:p w:rsidR="00671142" w:rsidRPr="00D10D73" w:rsidRDefault="00671142" w:rsidP="00F443B9">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b</w:t>
                  </w:r>
                  <w:r w:rsidRPr="00D10D73">
                    <w:rPr>
                      <w:rFonts w:asciiTheme="minorHAnsi" w:hAnsiTheme="minorHAnsi" w:cs="Arial"/>
                      <w:sz w:val="22"/>
                      <w:szCs w:val="22"/>
                    </w:rPr>
                    <w:lastRenderedPageBreak/>
                    <w:t>)</w:t>
                  </w:r>
                </w:p>
              </w:tc>
              <w:tc>
                <w:tcPr>
                  <w:tcW w:w="10558" w:type="dxa"/>
                  <w:gridSpan w:val="3"/>
                </w:tcPr>
                <w:p w:rsidR="00671142" w:rsidRPr="00D10D73" w:rsidRDefault="00671142" w:rsidP="00671142">
                  <w:pPr>
                    <w:pStyle w:val="HTMLPreformatted"/>
                    <w:tabs>
                      <w:tab w:val="left" w:pos="7230"/>
                    </w:tabs>
                    <w:snapToGrid w:val="0"/>
                    <w:ind w:left="-468" w:right="-1" w:firstLine="853"/>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lastRenderedPageBreak/>
                    <w:t>Direct Sales as reported are net of Sales Tax.</w:t>
                  </w:r>
                </w:p>
              </w:tc>
            </w:tr>
            <w:tr w:rsidR="00671142" w:rsidRPr="00D10D73" w:rsidTr="00EE766E">
              <w:trPr>
                <w:gridAfter w:val="2"/>
                <w:wAfter w:w="1165" w:type="dxa"/>
              </w:trPr>
              <w:tc>
                <w:tcPr>
                  <w:tcW w:w="250" w:type="dxa"/>
                </w:tcPr>
                <w:p w:rsidR="00671142" w:rsidRPr="00D10D73" w:rsidRDefault="00671142" w:rsidP="00F443B9">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lastRenderedPageBreak/>
                    <w:t>c)</w:t>
                  </w:r>
                </w:p>
              </w:tc>
              <w:tc>
                <w:tcPr>
                  <w:tcW w:w="9393" w:type="dxa"/>
                </w:tcPr>
                <w:p w:rsidR="00671142" w:rsidRDefault="00671142" w:rsidP="00671142">
                  <w:pPr>
                    <w:pStyle w:val="HTMLPreformatted"/>
                    <w:tabs>
                      <w:tab w:val="left" w:pos="7230"/>
                    </w:tabs>
                    <w:snapToGrid w:val="0"/>
                    <w:ind w:left="385"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Dividend income from investments and interest on NSC is accounted in the year in which it is actually received.  </w:t>
                  </w:r>
                </w:p>
                <w:p w:rsidR="00671142" w:rsidRPr="00D10D73" w:rsidRDefault="00671142" w:rsidP="00671142">
                  <w:pPr>
                    <w:pStyle w:val="HTMLPreformatted"/>
                    <w:tabs>
                      <w:tab w:val="left" w:pos="7230"/>
                    </w:tabs>
                    <w:snapToGrid w:val="0"/>
                    <w:ind w:left="385" w:right="-1"/>
                    <w:jc w:val="both"/>
                    <w:rPr>
                      <w:rStyle w:val="HTMLTypewriter"/>
                      <w:rFonts w:asciiTheme="minorHAnsi" w:hAnsiTheme="minorHAnsi" w:cs="Arial"/>
                      <w:sz w:val="22"/>
                      <w:szCs w:val="22"/>
                    </w:rPr>
                  </w:pPr>
                </w:p>
              </w:tc>
            </w:tr>
            <w:tr w:rsidR="00671142" w:rsidRPr="00D10D73" w:rsidTr="00EE766E">
              <w:trPr>
                <w:gridAfter w:val="2"/>
                <w:wAfter w:w="1165" w:type="dxa"/>
              </w:trPr>
              <w:tc>
                <w:tcPr>
                  <w:tcW w:w="250" w:type="dxa"/>
                </w:tcPr>
                <w:p w:rsidR="00671142" w:rsidRPr="00D10D73" w:rsidRDefault="00671142" w:rsidP="00F443B9">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d)</w:t>
                  </w:r>
                </w:p>
              </w:tc>
              <w:tc>
                <w:tcPr>
                  <w:tcW w:w="9393" w:type="dxa"/>
                </w:tcPr>
                <w:p w:rsidR="00671142" w:rsidRPr="00D10D73" w:rsidRDefault="00671142" w:rsidP="00671142">
                  <w:pPr>
                    <w:pStyle w:val="HTMLPreformatted"/>
                    <w:tabs>
                      <w:tab w:val="left" w:pos="7230"/>
                    </w:tabs>
                    <w:snapToGrid w:val="0"/>
                    <w:ind w:left="-468" w:right="-1" w:firstLine="853"/>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Other incomes are accounted on accrual basis. </w:t>
                  </w:r>
                </w:p>
              </w:tc>
            </w:tr>
          </w:tbl>
          <w:p w:rsidR="00671142" w:rsidRPr="00D10D73" w:rsidRDefault="00671142" w:rsidP="00A30493">
            <w:pPr>
              <w:pStyle w:val="HTMLPreformatted"/>
              <w:tabs>
                <w:tab w:val="left" w:pos="7230"/>
              </w:tabs>
              <w:snapToGrid w:val="0"/>
              <w:ind w:left="680" w:right="-1" w:firstLine="63"/>
              <w:jc w:val="both"/>
              <w:rPr>
                <w:rStyle w:val="HTMLTypewriter"/>
                <w:rFonts w:asciiTheme="minorHAnsi" w:hAnsiTheme="minorHAnsi" w:cs="Arial"/>
                <w:b/>
                <w:bCs/>
                <w:sz w:val="22"/>
                <w:szCs w:val="22"/>
                <w:u w:val="single"/>
              </w:rPr>
            </w:pPr>
          </w:p>
        </w:tc>
      </w:tr>
      <w:tr w:rsidR="004B71E5" w:rsidRPr="00D10D73" w:rsidTr="00EE766E">
        <w:trPr>
          <w:gridBefore w:val="1"/>
          <w:wBefore w:w="284" w:type="dxa"/>
          <w:trHeight w:val="162"/>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7A189B">
            <w:pPr>
              <w:pStyle w:val="HTMLPreformatted"/>
              <w:tabs>
                <w:tab w:val="left" w:pos="7230"/>
              </w:tabs>
              <w:snapToGrid w:val="0"/>
              <w:ind w:left="680" w:right="-1"/>
              <w:jc w:val="both"/>
              <w:rPr>
                <w:rFonts w:asciiTheme="minorHAnsi" w:hAnsiTheme="minorHAnsi" w:cs="Arial"/>
                <w:sz w:val="22"/>
                <w:szCs w:val="22"/>
              </w:rPr>
            </w:pPr>
          </w:p>
        </w:tc>
      </w:tr>
      <w:tr w:rsidR="004B71E5" w:rsidRPr="00D10D73" w:rsidTr="00EE766E">
        <w:trPr>
          <w:gridBefore w:val="1"/>
          <w:wBefore w:w="284" w:type="dxa"/>
        </w:trPr>
        <w:tc>
          <w:tcPr>
            <w:tcW w:w="10320" w:type="dxa"/>
            <w:gridSpan w:val="4"/>
          </w:tcPr>
          <w:p w:rsidR="004B71E5" w:rsidRPr="00D10D73" w:rsidRDefault="004B71E5" w:rsidP="00FA0DCD">
            <w:pPr>
              <w:pStyle w:val="HTMLPreformatted"/>
              <w:tabs>
                <w:tab w:val="left" w:pos="7230"/>
              </w:tabs>
              <w:snapToGrid w:val="0"/>
              <w:ind w:left="680" w:right="-1" w:hanging="221"/>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AS-10 ACCOUNTING FOR FIXED ASSETS</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EE766E">
            <w:pPr>
              <w:pStyle w:val="HTMLPreformatted"/>
              <w:tabs>
                <w:tab w:val="left" w:pos="7230"/>
              </w:tabs>
              <w:snapToGrid w:val="0"/>
              <w:ind w:right="-1"/>
              <w:jc w:val="both"/>
              <w:rPr>
                <w:rFonts w:asciiTheme="minorHAnsi" w:hAnsiTheme="minorHAnsi" w:cs="Arial"/>
                <w:sz w:val="22"/>
                <w:szCs w:val="22"/>
              </w:rPr>
            </w:pP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671142">
            <w:pPr>
              <w:pStyle w:val="HTMLPreformatted"/>
              <w:tabs>
                <w:tab w:val="left" w:pos="7230"/>
              </w:tabs>
              <w:snapToGrid w:val="0"/>
              <w:ind w:left="209"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The cost of fixed assets </w:t>
            </w:r>
            <w:r w:rsidR="00D10D73" w:rsidRPr="00D10D73">
              <w:rPr>
                <w:rStyle w:val="HTMLTypewriter"/>
                <w:rFonts w:asciiTheme="minorHAnsi" w:hAnsiTheme="minorHAnsi" w:cs="Arial"/>
                <w:sz w:val="22"/>
                <w:szCs w:val="22"/>
              </w:rPr>
              <w:t xml:space="preserve">except Land, Building and Plant and Machineries are </w:t>
            </w:r>
            <w:r w:rsidRPr="00D10D73">
              <w:rPr>
                <w:rStyle w:val="HTMLTypewriter"/>
                <w:rFonts w:asciiTheme="minorHAnsi" w:hAnsiTheme="minorHAnsi" w:cs="Arial"/>
                <w:sz w:val="22"/>
                <w:szCs w:val="22"/>
              </w:rPr>
              <w:t>shown at historical cost less accumulated depreciation.</w:t>
            </w:r>
            <w:r w:rsidR="00D10D73" w:rsidRPr="00D10D73">
              <w:rPr>
                <w:rStyle w:val="HTMLTypewriter"/>
                <w:rFonts w:asciiTheme="minorHAnsi" w:hAnsiTheme="minorHAnsi" w:cs="Arial"/>
                <w:sz w:val="22"/>
                <w:szCs w:val="22"/>
              </w:rPr>
              <w:t xml:space="preserve"> Land, Building and Plant and Machineries are shown at revalued figure less accumulated depreciation.</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7A189B">
            <w:pPr>
              <w:pStyle w:val="HTMLPreformatted"/>
              <w:tabs>
                <w:tab w:val="left" w:pos="7230"/>
              </w:tabs>
              <w:snapToGrid w:val="0"/>
              <w:ind w:left="680" w:right="-1"/>
              <w:jc w:val="both"/>
              <w:rPr>
                <w:rFonts w:asciiTheme="minorHAnsi" w:hAnsiTheme="minorHAnsi" w:cs="Arial"/>
                <w:sz w:val="22"/>
                <w:szCs w:val="22"/>
              </w:rPr>
            </w:pPr>
          </w:p>
        </w:tc>
      </w:tr>
      <w:tr w:rsidR="004B71E5" w:rsidRPr="00D10D73" w:rsidTr="00EE766E">
        <w:trPr>
          <w:gridBefore w:val="1"/>
          <w:wBefore w:w="284" w:type="dxa"/>
        </w:trPr>
        <w:tc>
          <w:tcPr>
            <w:tcW w:w="10320" w:type="dxa"/>
            <w:gridSpan w:val="4"/>
          </w:tcPr>
          <w:p w:rsidR="004B71E5" w:rsidRPr="00D10D73" w:rsidRDefault="004B71E5" w:rsidP="00FA0DCD">
            <w:pPr>
              <w:pStyle w:val="HTMLPreformatted"/>
              <w:tabs>
                <w:tab w:val="left" w:pos="7230"/>
              </w:tabs>
              <w:snapToGrid w:val="0"/>
              <w:ind w:left="680" w:right="-1" w:hanging="221"/>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AS-11 FOREIGN CURRENCY TRANSACTIONS</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hAnsiTheme="minorHAnsi" w:cs="Arial"/>
                <w:sz w:val="22"/>
                <w:szCs w:val="22"/>
              </w:rPr>
            </w:pPr>
          </w:p>
        </w:tc>
        <w:tc>
          <w:tcPr>
            <w:tcW w:w="10070" w:type="dxa"/>
            <w:gridSpan w:val="3"/>
          </w:tcPr>
          <w:p w:rsidR="004B71E5" w:rsidRPr="00D10D73" w:rsidRDefault="004B71E5" w:rsidP="00FA0DCD">
            <w:pPr>
              <w:pStyle w:val="BodyText"/>
              <w:tabs>
                <w:tab w:val="left" w:pos="7230"/>
              </w:tabs>
              <w:snapToGrid w:val="0"/>
              <w:ind w:left="209" w:right="-1" w:firstLine="15"/>
              <w:jc w:val="both"/>
              <w:rPr>
                <w:rFonts w:asciiTheme="minorHAnsi" w:hAnsiTheme="minorHAnsi" w:cs="Arial"/>
                <w:sz w:val="22"/>
                <w:szCs w:val="22"/>
              </w:rPr>
            </w:pPr>
            <w:r w:rsidRPr="00D10D73">
              <w:rPr>
                <w:rFonts w:asciiTheme="minorHAnsi" w:hAnsiTheme="minorHAnsi" w:cs="Arial"/>
                <w:sz w:val="22"/>
                <w:szCs w:val="22"/>
              </w:rPr>
              <w:t xml:space="preserve">Foreign currency transactions are recorded at the prevailing exchange rates at the time of initial recognition. Exchange differences arising on final settlement are recognized as income or expense in the profit and loss account. Outstanding balances of monetary items denominated in foreign currency are restated at closing exchange rates. </w:t>
            </w:r>
          </w:p>
          <w:p w:rsidR="004B71E5" w:rsidRPr="00D10D73" w:rsidRDefault="004B71E5" w:rsidP="00FA0DCD">
            <w:pPr>
              <w:pStyle w:val="BodyText"/>
              <w:tabs>
                <w:tab w:val="left" w:pos="7230"/>
              </w:tabs>
              <w:ind w:left="209" w:right="-1" w:firstLine="15"/>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The premium or discount arising at the inception of forward exchange contracts is accounted as income or expense over the life of the contract. Any profit or loss arising on cancellation or renewal of forward exchange contract is recognized as income or as expense in the period in which they arise. </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hAnsiTheme="minorHAnsi"/>
                <w:sz w:val="22"/>
                <w:szCs w:val="22"/>
              </w:rPr>
            </w:pPr>
          </w:p>
        </w:tc>
        <w:tc>
          <w:tcPr>
            <w:tcW w:w="10070" w:type="dxa"/>
            <w:gridSpan w:val="3"/>
          </w:tcPr>
          <w:p w:rsidR="004B71E5" w:rsidRPr="00D10D73" w:rsidRDefault="004B71E5" w:rsidP="007A189B">
            <w:pPr>
              <w:pStyle w:val="HTMLPreformatted"/>
              <w:tabs>
                <w:tab w:val="left" w:pos="7230"/>
              </w:tabs>
              <w:snapToGrid w:val="0"/>
              <w:ind w:left="680" w:right="-1"/>
              <w:jc w:val="both"/>
              <w:rPr>
                <w:rFonts w:asciiTheme="minorHAnsi" w:hAnsiTheme="minorHAnsi" w:cs="Arial"/>
                <w:sz w:val="22"/>
                <w:szCs w:val="22"/>
              </w:rPr>
            </w:pPr>
          </w:p>
        </w:tc>
      </w:tr>
      <w:tr w:rsidR="004B71E5" w:rsidRPr="00D10D73" w:rsidTr="00EE766E">
        <w:trPr>
          <w:gridBefore w:val="1"/>
          <w:wBefore w:w="284" w:type="dxa"/>
        </w:trPr>
        <w:tc>
          <w:tcPr>
            <w:tcW w:w="10320" w:type="dxa"/>
            <w:gridSpan w:val="4"/>
          </w:tcPr>
          <w:p w:rsidR="004B71E5" w:rsidRPr="00D10D73" w:rsidRDefault="004B71E5" w:rsidP="00FA0DCD">
            <w:pPr>
              <w:pStyle w:val="HTMLPreformatted"/>
              <w:tabs>
                <w:tab w:val="left" w:pos="7230"/>
              </w:tabs>
              <w:snapToGrid w:val="0"/>
              <w:ind w:left="680" w:right="-1" w:hanging="221"/>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AS-13 ACCOUNTING FOR INVESTMENTS</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FA0DCD">
            <w:pPr>
              <w:pStyle w:val="HTMLPreformatted"/>
              <w:tabs>
                <w:tab w:val="left" w:pos="7230"/>
              </w:tabs>
              <w:snapToGrid w:val="0"/>
              <w:ind w:left="209"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Long term investments are stated at cost. A provision for diminution, if any, is made to recognise a decline, other than temporary, in the value of long term investments.</w:t>
            </w:r>
          </w:p>
        </w:tc>
      </w:tr>
      <w:tr w:rsidR="004B71E5" w:rsidRPr="00D10D73" w:rsidTr="00EE766E">
        <w:trPr>
          <w:gridBefore w:val="1"/>
          <w:wBefore w:w="284" w:type="dxa"/>
        </w:trPr>
        <w:tc>
          <w:tcPr>
            <w:tcW w:w="10320" w:type="dxa"/>
            <w:gridSpan w:val="4"/>
          </w:tcPr>
          <w:p w:rsidR="001E10E7" w:rsidRDefault="001E10E7" w:rsidP="00FA0DCD">
            <w:pPr>
              <w:pStyle w:val="HTMLPreformatted"/>
              <w:tabs>
                <w:tab w:val="left" w:pos="7230"/>
              </w:tabs>
              <w:snapToGrid w:val="0"/>
              <w:ind w:left="680" w:right="-1" w:hanging="221"/>
              <w:jc w:val="both"/>
              <w:rPr>
                <w:rStyle w:val="HTMLTypewriter"/>
                <w:rFonts w:asciiTheme="minorHAnsi" w:hAnsiTheme="minorHAnsi" w:cs="Arial"/>
                <w:b/>
                <w:bCs/>
                <w:sz w:val="22"/>
                <w:szCs w:val="22"/>
                <w:u w:val="single"/>
              </w:rPr>
            </w:pPr>
          </w:p>
          <w:p w:rsidR="004B71E5" w:rsidRPr="00D10D73" w:rsidRDefault="004B71E5" w:rsidP="00FA0DCD">
            <w:pPr>
              <w:pStyle w:val="HTMLPreformatted"/>
              <w:tabs>
                <w:tab w:val="left" w:pos="7230"/>
              </w:tabs>
              <w:snapToGrid w:val="0"/>
              <w:ind w:left="680" w:right="-1" w:hanging="221"/>
              <w:jc w:val="both"/>
              <w:rPr>
                <w:rFonts w:asciiTheme="minorHAnsi" w:hAnsiTheme="minorHAnsi" w:cs="Arial"/>
                <w:sz w:val="22"/>
                <w:szCs w:val="22"/>
              </w:rPr>
            </w:pPr>
            <w:r w:rsidRPr="00D10D73">
              <w:rPr>
                <w:rStyle w:val="HTMLTypewriter"/>
                <w:rFonts w:asciiTheme="minorHAnsi" w:hAnsiTheme="minorHAnsi" w:cs="Arial"/>
                <w:b/>
                <w:bCs/>
                <w:sz w:val="22"/>
                <w:szCs w:val="22"/>
                <w:u w:val="single"/>
              </w:rPr>
              <w:t>AS-15  EMPLOYEE BENEFITS</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a)</w:t>
            </w:r>
          </w:p>
          <w:p w:rsidR="004B71E5" w:rsidRPr="00D10D73" w:rsidRDefault="004B71E5" w:rsidP="007A189B">
            <w:pPr>
              <w:tabs>
                <w:tab w:val="left" w:pos="7230"/>
              </w:tabs>
              <w:snapToGrid w:val="0"/>
              <w:ind w:left="680" w:right="-1"/>
              <w:jc w:val="both"/>
              <w:rPr>
                <w:rFonts w:asciiTheme="minorHAnsi" w:hAnsiTheme="minorHAnsi" w:cs="Arial"/>
                <w:sz w:val="22"/>
                <w:szCs w:val="22"/>
              </w:rPr>
            </w:pPr>
          </w:p>
        </w:tc>
        <w:tc>
          <w:tcPr>
            <w:tcW w:w="10070" w:type="dxa"/>
            <w:gridSpan w:val="3"/>
          </w:tcPr>
          <w:p w:rsidR="004B71E5" w:rsidRPr="00D10D73" w:rsidRDefault="004B71E5" w:rsidP="00FA0DCD">
            <w:pPr>
              <w:tabs>
                <w:tab w:val="left" w:pos="120"/>
                <w:tab w:val="left" w:pos="7230"/>
              </w:tabs>
              <w:snapToGrid w:val="0"/>
              <w:ind w:left="209" w:right="-1" w:hanging="15"/>
              <w:jc w:val="both"/>
              <w:rPr>
                <w:rFonts w:asciiTheme="minorHAnsi" w:hAnsiTheme="minorHAnsi" w:cs="Arial"/>
                <w:bCs/>
                <w:sz w:val="22"/>
                <w:szCs w:val="22"/>
              </w:rPr>
            </w:pPr>
            <w:r w:rsidRPr="00D10D73">
              <w:rPr>
                <w:rFonts w:asciiTheme="minorHAnsi" w:hAnsiTheme="minorHAnsi" w:cs="Arial"/>
                <w:bCs/>
                <w:sz w:val="22"/>
                <w:szCs w:val="22"/>
              </w:rPr>
              <w:t xml:space="preserve">Short term employee benefits (other than termination benefits) which are payable within 12 months after the end of the period in which the employees render service are accounted on accrual basis. </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r w:rsidRPr="00D10D73">
              <w:rPr>
                <w:rFonts w:asciiTheme="minorHAnsi" w:eastAsia="MS Mincho" w:hAnsiTheme="minorHAnsi" w:cs="Arial"/>
                <w:sz w:val="22"/>
                <w:szCs w:val="22"/>
              </w:rPr>
              <w:t>b)</w:t>
            </w:r>
          </w:p>
        </w:tc>
        <w:tc>
          <w:tcPr>
            <w:tcW w:w="10070" w:type="dxa"/>
            <w:gridSpan w:val="3"/>
          </w:tcPr>
          <w:p w:rsidR="00FA0DCD" w:rsidRDefault="00FA0DCD" w:rsidP="001E10E7">
            <w:pPr>
              <w:tabs>
                <w:tab w:val="left" w:pos="120"/>
                <w:tab w:val="left" w:pos="7230"/>
              </w:tabs>
              <w:snapToGrid w:val="0"/>
              <w:ind w:right="-1"/>
              <w:jc w:val="both"/>
              <w:rPr>
                <w:rFonts w:asciiTheme="minorHAnsi" w:hAnsiTheme="minorHAnsi" w:cs="Arial"/>
                <w:b/>
                <w:sz w:val="22"/>
                <w:szCs w:val="22"/>
              </w:rPr>
            </w:pPr>
          </w:p>
          <w:p w:rsidR="004B71E5" w:rsidRPr="00FA0DCD" w:rsidRDefault="004B71E5" w:rsidP="00FA0DCD">
            <w:pPr>
              <w:tabs>
                <w:tab w:val="left" w:pos="120"/>
                <w:tab w:val="left" w:pos="7230"/>
              </w:tabs>
              <w:snapToGrid w:val="0"/>
              <w:ind w:left="680" w:right="-1" w:hanging="471"/>
              <w:jc w:val="both"/>
              <w:rPr>
                <w:rFonts w:asciiTheme="minorHAnsi" w:hAnsiTheme="minorHAnsi" w:cs="Arial"/>
                <w:sz w:val="22"/>
                <w:szCs w:val="22"/>
              </w:rPr>
            </w:pPr>
            <w:r w:rsidRPr="00D10D73">
              <w:rPr>
                <w:rFonts w:asciiTheme="minorHAnsi" w:hAnsiTheme="minorHAnsi" w:cs="Arial"/>
                <w:b/>
                <w:sz w:val="22"/>
                <w:szCs w:val="22"/>
              </w:rPr>
              <w:t>Defined Contribution Plans</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FA0DCD">
            <w:pPr>
              <w:tabs>
                <w:tab w:val="left" w:pos="209"/>
                <w:tab w:val="left" w:pos="7230"/>
              </w:tabs>
              <w:snapToGrid w:val="0"/>
              <w:ind w:left="209" w:right="-1"/>
              <w:jc w:val="both"/>
              <w:rPr>
                <w:rFonts w:asciiTheme="minorHAnsi" w:hAnsiTheme="minorHAnsi" w:cs="Arial"/>
                <w:bCs/>
                <w:sz w:val="22"/>
                <w:szCs w:val="22"/>
              </w:rPr>
            </w:pPr>
            <w:r w:rsidRPr="00D10D73">
              <w:rPr>
                <w:rFonts w:asciiTheme="minorHAnsi" w:hAnsiTheme="minorHAnsi" w:cs="Arial"/>
                <w:bCs/>
                <w:sz w:val="22"/>
                <w:szCs w:val="22"/>
              </w:rPr>
              <w:t>Company’s contributions paid / payable during the year to Provident Fund, Superannuation Fund and ESIC are recognized in the profit and loss account.</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7A189B">
            <w:pPr>
              <w:tabs>
                <w:tab w:val="left" w:pos="120"/>
                <w:tab w:val="left" w:pos="7230"/>
              </w:tabs>
              <w:snapToGrid w:val="0"/>
              <w:ind w:left="680" w:right="-1" w:hanging="15"/>
              <w:jc w:val="both"/>
              <w:rPr>
                <w:rFonts w:asciiTheme="minorHAnsi" w:hAnsiTheme="minorHAnsi" w:cs="Arial"/>
                <w:bCs/>
                <w:sz w:val="22"/>
                <w:szCs w:val="22"/>
              </w:rPr>
            </w:pP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r w:rsidRPr="00D10D73">
              <w:rPr>
                <w:rFonts w:asciiTheme="minorHAnsi" w:eastAsia="MS Mincho" w:hAnsiTheme="minorHAnsi" w:cs="Arial"/>
                <w:sz w:val="22"/>
                <w:szCs w:val="22"/>
              </w:rPr>
              <w:t>c)</w:t>
            </w:r>
          </w:p>
        </w:tc>
        <w:tc>
          <w:tcPr>
            <w:tcW w:w="10070" w:type="dxa"/>
            <w:gridSpan w:val="3"/>
          </w:tcPr>
          <w:p w:rsidR="004B71E5" w:rsidRPr="00D10D73" w:rsidRDefault="004B71E5" w:rsidP="00FA0DCD">
            <w:pPr>
              <w:pStyle w:val="Heading5"/>
              <w:numPr>
                <w:ilvl w:val="4"/>
                <w:numId w:val="2"/>
              </w:numPr>
              <w:tabs>
                <w:tab w:val="clear" w:pos="0"/>
                <w:tab w:val="clear" w:pos="2160"/>
                <w:tab w:val="left" w:pos="12"/>
                <w:tab w:val="left" w:pos="36"/>
                <w:tab w:val="left" w:pos="60"/>
                <w:tab w:val="left" w:pos="120"/>
                <w:tab w:val="left" w:pos="7230"/>
              </w:tabs>
              <w:snapToGrid w:val="0"/>
              <w:ind w:left="209" w:right="-1"/>
              <w:rPr>
                <w:rFonts w:asciiTheme="minorHAnsi" w:hAnsiTheme="minorHAnsi" w:cs="Arial"/>
                <w:szCs w:val="22"/>
              </w:rPr>
            </w:pPr>
            <w:r w:rsidRPr="00D10D73">
              <w:rPr>
                <w:rFonts w:asciiTheme="minorHAnsi" w:hAnsiTheme="minorHAnsi" w:cs="Arial"/>
                <w:szCs w:val="22"/>
              </w:rPr>
              <w:t>Defined Benefit Plans</w:t>
            </w:r>
          </w:p>
          <w:p w:rsidR="004B71E5" w:rsidRPr="00D10D73" w:rsidRDefault="004B71E5" w:rsidP="00FA0DCD">
            <w:pPr>
              <w:tabs>
                <w:tab w:val="left" w:pos="525"/>
                <w:tab w:val="left" w:pos="7230"/>
              </w:tabs>
              <w:ind w:left="209" w:right="-1" w:hanging="17"/>
              <w:jc w:val="both"/>
              <w:rPr>
                <w:rFonts w:asciiTheme="minorHAnsi" w:hAnsiTheme="minorHAnsi" w:cs="Arial"/>
                <w:bCs/>
                <w:sz w:val="22"/>
                <w:szCs w:val="22"/>
              </w:rPr>
            </w:pPr>
            <w:r w:rsidRPr="00D10D73">
              <w:rPr>
                <w:rFonts w:asciiTheme="minorHAnsi" w:hAnsiTheme="minorHAnsi" w:cs="Arial"/>
                <w:bCs/>
                <w:sz w:val="22"/>
                <w:szCs w:val="22"/>
              </w:rPr>
              <w:t>Company’s liabilities towards gratuity is determined using the projected unit credit method which considers each period of service as giving rise to an additional unit of benefit entitlement and measures each unit separately to build up the final obligation. Past services are recognized on a straight line basis over the average period until the amended benefits becomes vested. Actuarial gains or losses are recognized immediately in the statement of profit and loss account as income or expense. Obligation is measured at the present value of estimated future cash flows using a discounted rate</w:t>
            </w:r>
          </w:p>
        </w:tc>
      </w:tr>
      <w:tr w:rsidR="004B71E5" w:rsidRPr="00D10D73" w:rsidTr="00EE766E">
        <w:trPr>
          <w:gridBefore w:val="1"/>
          <w:wBefore w:w="284" w:type="dxa"/>
        </w:trPr>
        <w:tc>
          <w:tcPr>
            <w:tcW w:w="250" w:type="dxa"/>
          </w:tcPr>
          <w:p w:rsidR="004B71E5" w:rsidRPr="00D10D73" w:rsidRDefault="004B71E5" w:rsidP="007A189B">
            <w:pPr>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Pr="00D10D73" w:rsidRDefault="004B71E5" w:rsidP="007A189B">
            <w:pPr>
              <w:pStyle w:val="Heading5"/>
              <w:numPr>
                <w:ilvl w:val="4"/>
                <w:numId w:val="2"/>
              </w:numPr>
              <w:tabs>
                <w:tab w:val="clear" w:pos="0"/>
                <w:tab w:val="clear" w:pos="2160"/>
                <w:tab w:val="left" w:pos="12"/>
                <w:tab w:val="left" w:pos="36"/>
                <w:tab w:val="left" w:pos="60"/>
                <w:tab w:val="left" w:pos="120"/>
                <w:tab w:val="left" w:pos="7230"/>
              </w:tabs>
              <w:snapToGrid w:val="0"/>
              <w:ind w:left="680" w:right="-1"/>
              <w:rPr>
                <w:rFonts w:asciiTheme="minorHAnsi" w:hAnsiTheme="minorHAnsi" w:cs="Arial"/>
                <w:szCs w:val="22"/>
              </w:rPr>
            </w:pPr>
          </w:p>
        </w:tc>
      </w:tr>
      <w:tr w:rsidR="004B71E5" w:rsidRPr="00D10D73" w:rsidTr="00EE766E">
        <w:trPr>
          <w:gridBefore w:val="1"/>
          <w:wBefore w:w="284" w:type="dxa"/>
        </w:trPr>
        <w:tc>
          <w:tcPr>
            <w:tcW w:w="10320" w:type="dxa"/>
            <w:gridSpan w:val="4"/>
          </w:tcPr>
          <w:p w:rsidR="004B71E5" w:rsidRPr="00D10D73" w:rsidRDefault="004B71E5" w:rsidP="001E10E7">
            <w:pPr>
              <w:pStyle w:val="HTMLPreformatted"/>
              <w:tabs>
                <w:tab w:val="left" w:pos="7230"/>
              </w:tabs>
              <w:snapToGrid w:val="0"/>
              <w:ind w:left="680" w:right="-1" w:hanging="221"/>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AS-16 BORROWING COSTS</w:t>
            </w:r>
          </w:p>
        </w:tc>
      </w:tr>
      <w:tr w:rsidR="004B71E5" w:rsidRPr="00D10D73" w:rsidTr="00EE766E">
        <w:trPr>
          <w:gridBefore w:val="1"/>
          <w:wBefore w:w="284" w:type="dxa"/>
        </w:trPr>
        <w:tc>
          <w:tcPr>
            <w:tcW w:w="250" w:type="dxa"/>
          </w:tcPr>
          <w:p w:rsidR="004B71E5" w:rsidRPr="00D10D73" w:rsidRDefault="004B71E5" w:rsidP="007A189B">
            <w:pPr>
              <w:pStyle w:val="HTMLPreformatted"/>
              <w:tabs>
                <w:tab w:val="left" w:pos="7230"/>
              </w:tabs>
              <w:snapToGrid w:val="0"/>
              <w:ind w:left="680" w:right="-1"/>
              <w:jc w:val="both"/>
              <w:rPr>
                <w:rFonts w:asciiTheme="minorHAnsi" w:eastAsia="MS Mincho" w:hAnsiTheme="minorHAnsi" w:cs="Arial"/>
                <w:sz w:val="22"/>
                <w:szCs w:val="22"/>
              </w:rPr>
            </w:pPr>
          </w:p>
        </w:tc>
        <w:tc>
          <w:tcPr>
            <w:tcW w:w="10070" w:type="dxa"/>
            <w:gridSpan w:val="3"/>
          </w:tcPr>
          <w:p w:rsidR="004B71E5" w:rsidRDefault="004B71E5" w:rsidP="002C37F6">
            <w:pPr>
              <w:pStyle w:val="HTMLPreformatted"/>
              <w:tabs>
                <w:tab w:val="left" w:pos="7230"/>
              </w:tabs>
              <w:snapToGrid w:val="0"/>
              <w:ind w:left="209"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Borrowing Costs that are attributable to the acquisition of construction of qualifying assets are capitalised as part of the cost of such assets. A qualifying asset is one that necessarily takes substantial period of time to get ready for intended use. All other borrowing costs are recognized as an expense in the period in which they are incurred.</w:t>
            </w:r>
          </w:p>
          <w:p w:rsidR="0055674F" w:rsidRDefault="0055674F" w:rsidP="007A189B">
            <w:pPr>
              <w:pStyle w:val="HTMLPreformatted"/>
              <w:tabs>
                <w:tab w:val="left" w:pos="7230"/>
              </w:tabs>
              <w:snapToGrid w:val="0"/>
              <w:ind w:left="680" w:right="-1"/>
              <w:jc w:val="both"/>
              <w:rPr>
                <w:rStyle w:val="HTMLTypewriter"/>
                <w:rFonts w:asciiTheme="minorHAnsi" w:hAnsiTheme="minorHAnsi" w:cs="Arial"/>
                <w:sz w:val="22"/>
                <w:szCs w:val="22"/>
              </w:rPr>
            </w:pPr>
          </w:p>
          <w:p w:rsidR="00EE766E" w:rsidRDefault="00EE766E" w:rsidP="007A189B">
            <w:pPr>
              <w:pStyle w:val="HTMLPreformatted"/>
              <w:tabs>
                <w:tab w:val="left" w:pos="7230"/>
              </w:tabs>
              <w:snapToGrid w:val="0"/>
              <w:ind w:left="680" w:right="-1"/>
              <w:jc w:val="both"/>
              <w:rPr>
                <w:rStyle w:val="HTMLTypewriter"/>
                <w:rFonts w:asciiTheme="minorHAnsi" w:hAnsiTheme="minorHAnsi" w:cs="Arial"/>
                <w:sz w:val="22"/>
                <w:szCs w:val="22"/>
              </w:rPr>
            </w:pPr>
          </w:p>
          <w:p w:rsidR="00EE766E" w:rsidRDefault="00EE766E" w:rsidP="007A189B">
            <w:pPr>
              <w:pStyle w:val="HTMLPreformatted"/>
              <w:tabs>
                <w:tab w:val="left" w:pos="7230"/>
              </w:tabs>
              <w:snapToGrid w:val="0"/>
              <w:ind w:left="680" w:right="-1"/>
              <w:jc w:val="both"/>
              <w:rPr>
                <w:rStyle w:val="HTMLTypewriter"/>
                <w:rFonts w:asciiTheme="minorHAnsi" w:hAnsiTheme="minorHAnsi" w:cs="Arial"/>
                <w:sz w:val="22"/>
                <w:szCs w:val="22"/>
              </w:rPr>
            </w:pPr>
          </w:p>
          <w:tbl>
            <w:tblPr>
              <w:tblW w:w="10639" w:type="dxa"/>
              <w:tblLayout w:type="fixed"/>
              <w:tblLook w:val="0000"/>
            </w:tblPr>
            <w:tblGrid>
              <w:gridCol w:w="75"/>
              <w:gridCol w:w="204"/>
              <w:gridCol w:w="32"/>
              <w:gridCol w:w="9679"/>
              <w:gridCol w:w="283"/>
              <w:gridCol w:w="76"/>
              <w:gridCol w:w="290"/>
            </w:tblGrid>
            <w:tr w:rsidR="0055674F" w:rsidRPr="0055674F" w:rsidTr="009A0E1D">
              <w:trPr>
                <w:gridBefore w:val="1"/>
                <w:gridAfter w:val="1"/>
                <w:wBefore w:w="75" w:type="dxa"/>
                <w:wAfter w:w="290" w:type="dxa"/>
              </w:trPr>
              <w:tc>
                <w:tcPr>
                  <w:tcW w:w="10274" w:type="dxa"/>
                  <w:gridSpan w:val="5"/>
                </w:tcPr>
                <w:p w:rsidR="0055674F" w:rsidRPr="00D10D73" w:rsidRDefault="0055674F" w:rsidP="001E10E7">
                  <w:pPr>
                    <w:pStyle w:val="HTMLPreformatted"/>
                    <w:tabs>
                      <w:tab w:val="left" w:pos="7230"/>
                    </w:tabs>
                    <w:snapToGrid w:val="0"/>
                    <w:ind w:left="680" w:right="-1" w:hanging="579"/>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lastRenderedPageBreak/>
                    <w:t>AS-19 LEASES</w:t>
                  </w:r>
                </w:p>
              </w:tc>
            </w:tr>
            <w:tr w:rsidR="0055674F" w:rsidRPr="00D10D73" w:rsidTr="009A0E1D">
              <w:trPr>
                <w:gridBefore w:val="1"/>
                <w:gridAfter w:val="2"/>
                <w:wBefore w:w="75" w:type="dxa"/>
                <w:wAfter w:w="366" w:type="dxa"/>
              </w:trPr>
              <w:tc>
                <w:tcPr>
                  <w:tcW w:w="236"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b/>
                      <w:sz w:val="22"/>
                      <w:szCs w:val="22"/>
                    </w:rPr>
                  </w:pPr>
                </w:p>
              </w:tc>
              <w:tc>
                <w:tcPr>
                  <w:tcW w:w="9962" w:type="dxa"/>
                  <w:gridSpan w:val="2"/>
                </w:tcPr>
                <w:p w:rsidR="0055674F" w:rsidRPr="00D10D73" w:rsidRDefault="0055674F" w:rsidP="006E3FF2">
                  <w:pPr>
                    <w:pStyle w:val="HTMLPreformatted"/>
                    <w:tabs>
                      <w:tab w:val="clear" w:pos="916"/>
                      <w:tab w:val="clear" w:pos="1832"/>
                      <w:tab w:val="left" w:pos="-2093"/>
                      <w:tab w:val="left" w:pos="7230"/>
                    </w:tabs>
                    <w:snapToGrid w:val="0"/>
                    <w:ind w:left="-140" w:right="317"/>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Leases, where the lessor effectively retains substantially all the risks and benefits of ownership of the leased item, are classified as operating leases. Operating lease payments are recognized as an expense in the </w:t>
                  </w:r>
                  <w:r w:rsidR="009E0866">
                    <w:rPr>
                      <w:rStyle w:val="HTMLTypewriter"/>
                      <w:rFonts w:asciiTheme="minorHAnsi" w:hAnsiTheme="minorHAnsi" w:cs="Arial"/>
                      <w:sz w:val="22"/>
                      <w:szCs w:val="22"/>
                    </w:rPr>
                    <w:t>Statement of P</w:t>
                  </w:r>
                  <w:r w:rsidRPr="00D10D73">
                    <w:rPr>
                      <w:rStyle w:val="HTMLTypewriter"/>
                      <w:rFonts w:asciiTheme="minorHAnsi" w:hAnsiTheme="minorHAnsi" w:cs="Arial"/>
                      <w:sz w:val="22"/>
                      <w:szCs w:val="22"/>
                    </w:rPr>
                    <w:t xml:space="preserve">rofit and </w:t>
                  </w:r>
                  <w:r w:rsidR="009E0866">
                    <w:rPr>
                      <w:rStyle w:val="HTMLTypewriter"/>
                      <w:rFonts w:asciiTheme="minorHAnsi" w:hAnsiTheme="minorHAnsi" w:cs="Arial"/>
                      <w:sz w:val="22"/>
                      <w:szCs w:val="22"/>
                    </w:rPr>
                    <w:t>L</w:t>
                  </w:r>
                  <w:r w:rsidRPr="00D10D73">
                    <w:rPr>
                      <w:rStyle w:val="HTMLTypewriter"/>
                      <w:rFonts w:asciiTheme="minorHAnsi" w:hAnsiTheme="minorHAnsi" w:cs="Arial"/>
                      <w:sz w:val="22"/>
                      <w:szCs w:val="22"/>
                    </w:rPr>
                    <w:t>oss on a straight line basis over the lease term.</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b/>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cs="Arial"/>
                      <w:sz w:val="22"/>
                      <w:szCs w:val="22"/>
                    </w:rPr>
                  </w:pPr>
                </w:p>
              </w:tc>
            </w:tr>
            <w:tr w:rsidR="0055674F" w:rsidRPr="00D10D73" w:rsidTr="009A0E1D">
              <w:tc>
                <w:tcPr>
                  <w:tcW w:w="10639" w:type="dxa"/>
                  <w:gridSpan w:val="7"/>
                </w:tcPr>
                <w:p w:rsidR="0055674F" w:rsidRPr="00D10D73" w:rsidRDefault="0055674F" w:rsidP="008C6BB4">
                  <w:pPr>
                    <w:pStyle w:val="HTMLPreformatted"/>
                    <w:tabs>
                      <w:tab w:val="left" w:pos="7230"/>
                    </w:tabs>
                    <w:snapToGrid w:val="0"/>
                    <w:ind w:left="680" w:right="-1" w:hanging="437"/>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AS-20 EARNING PER SHARE</w:t>
                  </w:r>
                </w:p>
              </w:tc>
            </w:tr>
            <w:tr w:rsidR="0055674F" w:rsidRPr="00D10D73" w:rsidTr="009A0E1D">
              <w:trPr>
                <w:gridAfter w:val="2"/>
                <w:wAfter w:w="366" w:type="dxa"/>
              </w:trPr>
              <w:tc>
                <w:tcPr>
                  <w:tcW w:w="279" w:type="dxa"/>
                  <w:gridSpan w:val="2"/>
                </w:tcPr>
                <w:p w:rsidR="0055674F" w:rsidRPr="00D10D73" w:rsidRDefault="0055674F" w:rsidP="007A189B">
                  <w:pPr>
                    <w:pStyle w:val="HTMLPreformatted"/>
                    <w:tabs>
                      <w:tab w:val="left" w:pos="7230"/>
                    </w:tabs>
                    <w:snapToGrid w:val="0"/>
                    <w:ind w:left="680" w:right="-1"/>
                    <w:jc w:val="both"/>
                    <w:rPr>
                      <w:rFonts w:asciiTheme="minorHAnsi" w:eastAsia="MS Mincho" w:hAnsiTheme="minorHAnsi" w:cs="Arial"/>
                      <w:sz w:val="22"/>
                      <w:szCs w:val="22"/>
                    </w:rPr>
                  </w:pPr>
                </w:p>
              </w:tc>
              <w:tc>
                <w:tcPr>
                  <w:tcW w:w="9994" w:type="dxa"/>
                  <w:gridSpan w:val="3"/>
                </w:tcPr>
                <w:p w:rsidR="0055674F" w:rsidRPr="00D10D73" w:rsidRDefault="0055674F" w:rsidP="009A0E1D">
                  <w:pPr>
                    <w:pStyle w:val="HTMLPreformatted"/>
                    <w:tabs>
                      <w:tab w:val="clear" w:pos="9160"/>
                      <w:tab w:val="left" w:pos="7230"/>
                      <w:tab w:val="left" w:pos="9461"/>
                    </w:tabs>
                    <w:snapToGrid w:val="0"/>
                    <w:ind w:right="317"/>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The earning considered in ascertaining the Company's earnings per share comprises of Net Profit after tax and includes post tax adjustments of prior period and extra-ordinary items.</w:t>
                  </w:r>
                </w:p>
              </w:tc>
            </w:tr>
            <w:tr w:rsidR="0055674F" w:rsidRPr="00D10D73" w:rsidTr="009A0E1D">
              <w:trPr>
                <w:gridAfter w:val="2"/>
                <w:wAfter w:w="366"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994" w:type="dxa"/>
                  <w:gridSpan w:val="3"/>
                </w:tcPr>
                <w:p w:rsidR="0055674F" w:rsidRPr="00D10D73" w:rsidRDefault="0055674F" w:rsidP="00EE766E">
                  <w:pPr>
                    <w:pStyle w:val="HTMLPreformatted"/>
                    <w:tabs>
                      <w:tab w:val="left" w:pos="7230"/>
                    </w:tabs>
                    <w:snapToGrid w:val="0"/>
                    <w:ind w:left="680"/>
                    <w:jc w:val="both"/>
                    <w:rPr>
                      <w:rFonts w:asciiTheme="minorHAnsi" w:hAnsiTheme="minorHAnsi" w:cs="Arial"/>
                      <w:sz w:val="22"/>
                      <w:szCs w:val="22"/>
                    </w:rPr>
                  </w:pPr>
                </w:p>
              </w:tc>
            </w:tr>
            <w:tr w:rsidR="0055674F" w:rsidRPr="00D10D73" w:rsidTr="009A0E1D">
              <w:tc>
                <w:tcPr>
                  <w:tcW w:w="10639" w:type="dxa"/>
                  <w:gridSpan w:val="7"/>
                </w:tcPr>
                <w:p w:rsidR="0055674F" w:rsidRPr="00D10D73" w:rsidRDefault="0055674F" w:rsidP="008C6BB4">
                  <w:pPr>
                    <w:pStyle w:val="HTMLPreformatted"/>
                    <w:tabs>
                      <w:tab w:val="left" w:pos="7230"/>
                    </w:tabs>
                    <w:snapToGrid w:val="0"/>
                    <w:ind w:left="680" w:right="-1" w:hanging="437"/>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AS-22 ACCOUNTING FOR TAXES ON INCOME</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9A0E1D">
                  <w:pPr>
                    <w:pStyle w:val="HTMLPreformatted"/>
                    <w:tabs>
                      <w:tab w:val="clear" w:pos="9160"/>
                      <w:tab w:val="left" w:pos="7230"/>
                      <w:tab w:val="left" w:pos="9178"/>
                    </w:tabs>
                    <w:snapToGrid w:val="0"/>
                    <w:ind w:left="-36"/>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Deferred tax resulting from timing differences between book and tax profits is accounted under liability method at enacted or substantively enacted rate as on the balance sheet date. Deferred tax asset, other than those arising on account of unabsorbed depreciation or carried forward of losses under tax loss, are recognised and carried forward subject to consideration of prudence only to the extent that there is reasonable certainty that sufficient future taxable income will be available against which such deferred tax asset can be realized. </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sz w:val="22"/>
                      <w:szCs w:val="22"/>
                    </w:rPr>
                  </w:pP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8C6BB4">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 xml:space="preserve">Deferred tax asset,  arising on account of unabsorbed depreciation or carried forward of losses under tax loss, are recognised and carried forward subject to consideration of prudence only to the extent that there is virtual certainty that sufficient future taxable income will be available against which such deferred tax asset can be realised. </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sz w:val="22"/>
                      <w:szCs w:val="22"/>
                    </w:rPr>
                  </w:pP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8C6BB4">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Current tax is determined at the amount of tax payable in respect of estimated taxable income for the year.</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cs="Arial"/>
                      <w:sz w:val="22"/>
                      <w:szCs w:val="22"/>
                    </w:rPr>
                  </w:pPr>
                </w:p>
              </w:tc>
            </w:tr>
            <w:tr w:rsidR="0055674F" w:rsidRPr="00D10D73" w:rsidTr="009A0E1D">
              <w:tc>
                <w:tcPr>
                  <w:tcW w:w="10639" w:type="dxa"/>
                  <w:gridSpan w:val="7"/>
                </w:tcPr>
                <w:p w:rsidR="0055674F" w:rsidRPr="00D10D73" w:rsidRDefault="0055674F" w:rsidP="008C6BB4">
                  <w:pPr>
                    <w:pStyle w:val="HTMLPreformatted"/>
                    <w:tabs>
                      <w:tab w:val="left" w:pos="7230"/>
                    </w:tabs>
                    <w:snapToGrid w:val="0"/>
                    <w:ind w:left="680" w:right="-1" w:hanging="437"/>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AS-26  INTANGIBLE ASSETS</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p>
              </w:tc>
              <w:tc>
                <w:tcPr>
                  <w:tcW w:w="9711" w:type="dxa"/>
                  <w:gridSpan w:val="2"/>
                </w:tcPr>
                <w:p w:rsidR="0055674F" w:rsidRPr="00D10D73" w:rsidRDefault="0055674F" w:rsidP="008C6BB4">
                  <w:pPr>
                    <w:pStyle w:val="HTMLPreformatted"/>
                    <w:tabs>
                      <w:tab w:val="left" w:pos="7230"/>
                    </w:tabs>
                    <w:snapToGrid w:val="0"/>
                    <w:ind w:right="-1"/>
                    <w:jc w:val="both"/>
                    <w:rPr>
                      <w:rFonts w:asciiTheme="minorHAnsi" w:hAnsiTheme="minorHAnsi" w:cs="Arial"/>
                      <w:sz w:val="22"/>
                      <w:szCs w:val="22"/>
                    </w:rPr>
                  </w:pPr>
                  <w:r w:rsidRPr="00D10D73">
                    <w:rPr>
                      <w:rFonts w:asciiTheme="minorHAnsi" w:hAnsiTheme="minorHAnsi" w:cs="Arial"/>
                      <w:sz w:val="22"/>
                      <w:szCs w:val="22"/>
                    </w:rPr>
                    <w:t>Software is being amortised over a period of 1-3 years depending on the licenses of the respective software.</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cs="Arial"/>
                      <w:sz w:val="22"/>
                      <w:szCs w:val="22"/>
                    </w:rPr>
                  </w:pPr>
                </w:p>
              </w:tc>
            </w:tr>
            <w:tr w:rsidR="0055674F" w:rsidRPr="00D10D73" w:rsidTr="009A0E1D">
              <w:tc>
                <w:tcPr>
                  <w:tcW w:w="10639" w:type="dxa"/>
                  <w:gridSpan w:val="7"/>
                </w:tcPr>
                <w:p w:rsidR="0055674F" w:rsidRPr="00D10D73" w:rsidRDefault="0055674F" w:rsidP="008C6BB4">
                  <w:pPr>
                    <w:pStyle w:val="HTMLPreformatted"/>
                    <w:tabs>
                      <w:tab w:val="left" w:pos="7230"/>
                    </w:tabs>
                    <w:snapToGrid w:val="0"/>
                    <w:ind w:left="243" w:right="-1"/>
                    <w:jc w:val="both"/>
                    <w:rPr>
                      <w:rStyle w:val="HTMLTypewrite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AS-28  IMPAIRMENT OF ASSETS</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p>
              </w:tc>
              <w:tc>
                <w:tcPr>
                  <w:tcW w:w="9711" w:type="dxa"/>
                  <w:gridSpan w:val="2"/>
                </w:tcPr>
                <w:p w:rsidR="0055674F" w:rsidRPr="00D10D73" w:rsidRDefault="0055674F" w:rsidP="008C6BB4">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An asset is impaired when the carrying amount of the asset exceeds its recoverable amount.  An impairment loss is charged to the statement of Profit and Loss in the year in which an asset is identified as impaired.  An impairment loss recognized in prior accounting year is reversed if there has been a change in the estimate of the recoverable amount.</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cs="Arial"/>
                      <w:sz w:val="22"/>
                      <w:szCs w:val="22"/>
                    </w:rPr>
                  </w:pPr>
                </w:p>
              </w:tc>
            </w:tr>
            <w:tr w:rsidR="0055674F" w:rsidRPr="00D10D73" w:rsidTr="009A0E1D">
              <w:tc>
                <w:tcPr>
                  <w:tcW w:w="10639" w:type="dxa"/>
                  <w:gridSpan w:val="7"/>
                </w:tcPr>
                <w:p w:rsidR="0055674F" w:rsidRPr="002C37F6" w:rsidRDefault="0055674F" w:rsidP="002C37F6">
                  <w:pPr>
                    <w:pStyle w:val="HTMLPreformatted"/>
                    <w:tabs>
                      <w:tab w:val="left" w:pos="7230"/>
                    </w:tabs>
                    <w:snapToGrid w:val="0"/>
                    <w:ind w:left="680" w:right="-1" w:hanging="437"/>
                    <w:jc w:val="both"/>
                    <w:rPr>
                      <w:rFonts w:asciiTheme="minorHAnsi" w:hAnsiTheme="minorHAnsi" w:cs="Arial"/>
                      <w:b/>
                      <w:bCs/>
                      <w:sz w:val="22"/>
                      <w:szCs w:val="22"/>
                      <w:u w:val="single"/>
                    </w:rPr>
                  </w:pPr>
                  <w:r w:rsidRPr="00D10D73">
                    <w:rPr>
                      <w:rStyle w:val="HTMLTypewriter"/>
                      <w:rFonts w:asciiTheme="minorHAnsi" w:hAnsiTheme="minorHAnsi" w:cs="Arial"/>
                      <w:b/>
                      <w:bCs/>
                      <w:sz w:val="22"/>
                      <w:szCs w:val="22"/>
                      <w:u w:val="single"/>
                    </w:rPr>
                    <w:t>AS-29  PROVISIONS, CONTINGENT LIABILITY AND CONTINGENT ASSETS</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a)</w:t>
                  </w:r>
                </w:p>
              </w:tc>
              <w:tc>
                <w:tcPr>
                  <w:tcW w:w="9711" w:type="dxa"/>
                  <w:gridSpan w:val="2"/>
                </w:tcPr>
                <w:p w:rsidR="0055674F" w:rsidRDefault="0055674F" w:rsidP="008C6BB4">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Provisions involving degree of estimation in measurement are recognized when there is a present obligation as a result of past event and it is probable that there will be an outflow of resources.</w:t>
                  </w:r>
                </w:p>
                <w:p w:rsidR="002C37F6" w:rsidRPr="00D10D73" w:rsidRDefault="002C37F6" w:rsidP="008C6BB4">
                  <w:pPr>
                    <w:pStyle w:val="HTMLPreformatted"/>
                    <w:tabs>
                      <w:tab w:val="left" w:pos="7230"/>
                    </w:tabs>
                    <w:snapToGrid w:val="0"/>
                    <w:ind w:right="-1"/>
                    <w:jc w:val="both"/>
                    <w:rPr>
                      <w:rStyle w:val="HTMLTypewriter"/>
                      <w:rFonts w:asciiTheme="minorHAnsi" w:hAnsiTheme="minorHAnsi" w:cs="Arial"/>
                      <w:sz w:val="22"/>
                      <w:szCs w:val="22"/>
                    </w:rPr>
                  </w:pP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b)</w:t>
                  </w:r>
                </w:p>
              </w:tc>
              <w:tc>
                <w:tcPr>
                  <w:tcW w:w="9711" w:type="dxa"/>
                  <w:gridSpan w:val="2"/>
                </w:tcPr>
                <w:p w:rsidR="0055674F" w:rsidRDefault="0055674F" w:rsidP="008C6BB4">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Contingent liabilities in respect of show cause notice received are considered only when they are converted to demands. Contingent liabilities are disclosed by way of notes to accounts.</w:t>
                  </w:r>
                </w:p>
                <w:p w:rsidR="002C37F6" w:rsidRPr="00D10D73" w:rsidRDefault="002C37F6" w:rsidP="008C6BB4">
                  <w:pPr>
                    <w:pStyle w:val="HTMLPreformatted"/>
                    <w:tabs>
                      <w:tab w:val="left" w:pos="7230"/>
                    </w:tabs>
                    <w:snapToGrid w:val="0"/>
                    <w:ind w:right="-1"/>
                    <w:jc w:val="both"/>
                    <w:rPr>
                      <w:rStyle w:val="HTMLTypewriter"/>
                      <w:rFonts w:asciiTheme="minorHAnsi" w:hAnsiTheme="minorHAnsi" w:cs="Arial"/>
                      <w:sz w:val="22"/>
                      <w:szCs w:val="22"/>
                    </w:rPr>
                  </w:pP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r w:rsidRPr="00D10D73">
                    <w:rPr>
                      <w:rFonts w:asciiTheme="minorHAnsi" w:hAnsiTheme="minorHAnsi" w:cs="Arial"/>
                      <w:sz w:val="22"/>
                      <w:szCs w:val="22"/>
                    </w:rPr>
                    <w:t>c)</w:t>
                  </w:r>
                </w:p>
              </w:tc>
              <w:tc>
                <w:tcPr>
                  <w:tcW w:w="9711" w:type="dxa"/>
                  <w:gridSpan w:val="2"/>
                </w:tcPr>
                <w:p w:rsidR="0055674F" w:rsidRPr="00D10D73" w:rsidRDefault="0055674F" w:rsidP="008C6BB4">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Contingent liability under various fiscal laws includes those in respect of which the company/department is in appeal.</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hAnsiTheme="minorHAnsi" w:cs="Arial"/>
                      <w:sz w:val="22"/>
                      <w:szCs w:val="22"/>
                    </w:rPr>
                  </w:pPr>
                </w:p>
              </w:tc>
              <w:tc>
                <w:tcPr>
                  <w:tcW w:w="9711" w:type="dxa"/>
                  <w:gridSpan w:val="2"/>
                </w:tcPr>
                <w:p w:rsidR="0055674F" w:rsidRPr="00D10D73" w:rsidRDefault="0055674F" w:rsidP="007A189B">
                  <w:pPr>
                    <w:pStyle w:val="HTMLPreformatted"/>
                    <w:tabs>
                      <w:tab w:val="left" w:pos="7230"/>
                    </w:tabs>
                    <w:snapToGrid w:val="0"/>
                    <w:ind w:left="680" w:right="-1"/>
                    <w:jc w:val="both"/>
                    <w:rPr>
                      <w:rFonts w:asciiTheme="minorHAnsi" w:hAnsiTheme="minorHAnsi" w:cs="Arial"/>
                      <w:sz w:val="22"/>
                      <w:szCs w:val="22"/>
                    </w:rPr>
                  </w:pPr>
                </w:p>
              </w:tc>
            </w:tr>
            <w:tr w:rsidR="0055674F" w:rsidRPr="00D10D73" w:rsidTr="009A0E1D">
              <w:tc>
                <w:tcPr>
                  <w:tcW w:w="10639" w:type="dxa"/>
                  <w:gridSpan w:val="7"/>
                </w:tcPr>
                <w:p w:rsidR="0055674F" w:rsidRPr="00D10D73" w:rsidRDefault="0055674F" w:rsidP="002C37F6">
                  <w:pPr>
                    <w:pStyle w:val="HTMLPreformatted"/>
                    <w:tabs>
                      <w:tab w:val="left" w:pos="7230"/>
                    </w:tabs>
                    <w:snapToGrid w:val="0"/>
                    <w:ind w:left="680" w:right="-1" w:hanging="437"/>
                    <w:jc w:val="both"/>
                    <w:rPr>
                      <w:rStyle w:val="HTMLTypewriter"/>
                      <w:rFonts w:asciiTheme="minorHAnsi" w:hAnsiTheme="minorHAnsi" w:cs="Arial"/>
                      <w:b/>
                      <w:sz w:val="22"/>
                      <w:szCs w:val="22"/>
                    </w:rPr>
                  </w:pPr>
                  <w:r w:rsidRPr="00D10D73">
                    <w:rPr>
                      <w:rStyle w:val="HTMLTypewriter"/>
                      <w:rFonts w:asciiTheme="minorHAnsi" w:hAnsiTheme="minorHAnsi" w:cs="Arial"/>
                      <w:b/>
                      <w:sz w:val="22"/>
                      <w:szCs w:val="22"/>
                    </w:rPr>
                    <w:t>USE OF ESTIMATES</w:t>
                  </w:r>
                </w:p>
              </w:tc>
            </w:tr>
            <w:tr w:rsidR="0055674F" w:rsidRPr="00D10D73" w:rsidTr="009A0E1D">
              <w:trPr>
                <w:gridAfter w:val="3"/>
                <w:wAfter w:w="649" w:type="dxa"/>
              </w:trPr>
              <w:tc>
                <w:tcPr>
                  <w:tcW w:w="279" w:type="dxa"/>
                  <w:gridSpan w:val="2"/>
                </w:tcPr>
                <w:p w:rsidR="0055674F" w:rsidRPr="00D10D73" w:rsidRDefault="0055674F" w:rsidP="007A189B">
                  <w:pPr>
                    <w:tabs>
                      <w:tab w:val="left" w:pos="7230"/>
                    </w:tabs>
                    <w:snapToGrid w:val="0"/>
                    <w:ind w:left="680" w:right="-1"/>
                    <w:jc w:val="both"/>
                    <w:rPr>
                      <w:rFonts w:asciiTheme="minorHAnsi" w:eastAsia="MS Mincho" w:hAnsiTheme="minorHAnsi" w:cs="Arial"/>
                      <w:sz w:val="22"/>
                      <w:szCs w:val="22"/>
                    </w:rPr>
                  </w:pPr>
                </w:p>
              </w:tc>
              <w:tc>
                <w:tcPr>
                  <w:tcW w:w="9711" w:type="dxa"/>
                  <w:gridSpan w:val="2"/>
                </w:tcPr>
                <w:p w:rsidR="0055674F" w:rsidRPr="00D10D73" w:rsidRDefault="0055674F" w:rsidP="002C37F6">
                  <w:pPr>
                    <w:pStyle w:val="HTMLPreformatted"/>
                    <w:tabs>
                      <w:tab w:val="left" w:pos="7230"/>
                    </w:tabs>
                    <w:snapToGrid w:val="0"/>
                    <w:ind w:right="-1"/>
                    <w:jc w:val="both"/>
                    <w:rPr>
                      <w:rStyle w:val="HTMLTypewriter"/>
                      <w:rFonts w:asciiTheme="minorHAnsi" w:hAnsiTheme="minorHAnsi" w:cs="Arial"/>
                      <w:sz w:val="22"/>
                      <w:szCs w:val="22"/>
                    </w:rPr>
                  </w:pPr>
                  <w:r w:rsidRPr="00D10D73">
                    <w:rPr>
                      <w:rStyle w:val="HTMLTypewriter"/>
                      <w:rFonts w:asciiTheme="minorHAnsi" w:hAnsiTheme="minorHAnsi" w:cs="Arial"/>
                      <w:sz w:val="22"/>
                      <w:szCs w:val="22"/>
                    </w:rPr>
                    <w:t>The preparation of financial statements in conformity with generally accepted accounting principles requires management to make estimates and assumptions that affect the reported amounts of assets and liabilities and the disclosures of contingent liabilities as at the date of the financial statements and reported amount of revenues and expenses during the reporting period. Actual results could differ from these estimates.  Any revision to the estimates is recognized prospectively.</w:t>
                  </w:r>
                </w:p>
              </w:tc>
            </w:tr>
          </w:tbl>
          <w:p w:rsidR="0055674F" w:rsidRPr="00D10D73" w:rsidRDefault="0055674F" w:rsidP="002C37F6">
            <w:pPr>
              <w:pStyle w:val="HTMLPreformatted"/>
              <w:tabs>
                <w:tab w:val="left" w:pos="7230"/>
              </w:tabs>
              <w:snapToGrid w:val="0"/>
              <w:ind w:right="-1"/>
              <w:jc w:val="both"/>
              <w:rPr>
                <w:rStyle w:val="HTMLTypewriter"/>
                <w:rFonts w:asciiTheme="minorHAnsi" w:hAnsiTheme="minorHAnsi" w:cs="Arial"/>
                <w:sz w:val="22"/>
                <w:szCs w:val="22"/>
              </w:rPr>
            </w:pPr>
          </w:p>
        </w:tc>
      </w:tr>
    </w:tbl>
    <w:p w:rsidR="004B71E5" w:rsidRPr="00D10D73" w:rsidRDefault="004B71E5" w:rsidP="002C37F6">
      <w:pPr>
        <w:pageBreakBefore/>
        <w:tabs>
          <w:tab w:val="left" w:pos="7230"/>
        </w:tabs>
        <w:ind w:left="680" w:right="-1"/>
        <w:jc w:val="both"/>
        <w:rPr>
          <w:rFonts w:asciiTheme="minorHAnsi" w:hAnsiTheme="minorHAnsi"/>
          <w:sz w:val="22"/>
          <w:szCs w:val="22"/>
        </w:rPr>
      </w:pPr>
    </w:p>
    <w:sectPr w:rsidR="004B71E5" w:rsidRPr="00D10D73" w:rsidSect="009A0E1D">
      <w:footerReference w:type="even" r:id="rId7"/>
      <w:footerReference w:type="default" r:id="rId8"/>
      <w:footnotePr>
        <w:pos w:val="beneathText"/>
      </w:footnotePr>
      <w:pgSz w:w="11905" w:h="16837"/>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5C" w:rsidRDefault="00226D5C">
      <w:r>
        <w:separator/>
      </w:r>
    </w:p>
  </w:endnote>
  <w:endnote w:type="continuationSeparator" w:id="1">
    <w:p w:rsidR="00226D5C" w:rsidRDefault="0022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8F" w:rsidRDefault="009D2C49" w:rsidP="009A1101">
    <w:pPr>
      <w:pStyle w:val="Footer"/>
      <w:framePr w:wrap="around" w:vAnchor="text" w:hAnchor="margin" w:xAlign="right" w:y="1"/>
      <w:rPr>
        <w:rStyle w:val="PageNumber"/>
      </w:rPr>
    </w:pPr>
    <w:r>
      <w:rPr>
        <w:rStyle w:val="PageNumber"/>
      </w:rPr>
      <w:fldChar w:fldCharType="begin"/>
    </w:r>
    <w:r w:rsidR="00C60E8F">
      <w:rPr>
        <w:rStyle w:val="PageNumber"/>
      </w:rPr>
      <w:instrText xml:space="preserve">PAGE  </w:instrText>
    </w:r>
    <w:r>
      <w:rPr>
        <w:rStyle w:val="PageNumber"/>
      </w:rPr>
      <w:fldChar w:fldCharType="end"/>
    </w:r>
  </w:p>
  <w:p w:rsidR="00C60E8F" w:rsidRDefault="00C60E8F" w:rsidP="009A11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8F" w:rsidRDefault="00C60E8F" w:rsidP="009A11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5C" w:rsidRDefault="00226D5C">
      <w:r>
        <w:separator/>
      </w:r>
    </w:p>
  </w:footnote>
  <w:footnote w:type="continuationSeparator" w:id="1">
    <w:p w:rsidR="00226D5C" w:rsidRDefault="00226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00000004"/>
    <w:multiLevelType w:val="multilevel"/>
    <w:tmpl w:val="00000004"/>
    <w:name w:val="WW8Num4"/>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00000005"/>
    <w:multiLevelType w:val="multilevel"/>
    <w:tmpl w:val="00000005"/>
    <w:name w:val="WW8Num5"/>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536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474B9"/>
    <w:rsid w:val="00015373"/>
    <w:rsid w:val="000201E6"/>
    <w:rsid w:val="00031DF3"/>
    <w:rsid w:val="000448B9"/>
    <w:rsid w:val="00047D4C"/>
    <w:rsid w:val="000642CB"/>
    <w:rsid w:val="00075F9C"/>
    <w:rsid w:val="0008400E"/>
    <w:rsid w:val="00092C45"/>
    <w:rsid w:val="000C1B60"/>
    <w:rsid w:val="000D66BB"/>
    <w:rsid w:val="000E10CE"/>
    <w:rsid w:val="000F3FEB"/>
    <w:rsid w:val="00100284"/>
    <w:rsid w:val="00113DF0"/>
    <w:rsid w:val="00115185"/>
    <w:rsid w:val="00115CCD"/>
    <w:rsid w:val="0014272A"/>
    <w:rsid w:val="00142916"/>
    <w:rsid w:val="001474B9"/>
    <w:rsid w:val="001564C5"/>
    <w:rsid w:val="001A450D"/>
    <w:rsid w:val="001E10E7"/>
    <w:rsid w:val="00226D5C"/>
    <w:rsid w:val="00227AF4"/>
    <w:rsid w:val="002346D7"/>
    <w:rsid w:val="002438DF"/>
    <w:rsid w:val="00272872"/>
    <w:rsid w:val="00274C49"/>
    <w:rsid w:val="002C37F6"/>
    <w:rsid w:val="003914C6"/>
    <w:rsid w:val="003A50F1"/>
    <w:rsid w:val="003E0FDF"/>
    <w:rsid w:val="003F78BC"/>
    <w:rsid w:val="00403E94"/>
    <w:rsid w:val="004160D4"/>
    <w:rsid w:val="004166FA"/>
    <w:rsid w:val="00423751"/>
    <w:rsid w:val="00460E49"/>
    <w:rsid w:val="00473BE9"/>
    <w:rsid w:val="0049021D"/>
    <w:rsid w:val="004A778B"/>
    <w:rsid w:val="004B71E5"/>
    <w:rsid w:val="004C1156"/>
    <w:rsid w:val="0055674F"/>
    <w:rsid w:val="00593B6E"/>
    <w:rsid w:val="0059738B"/>
    <w:rsid w:val="005E13EC"/>
    <w:rsid w:val="00636909"/>
    <w:rsid w:val="0066367C"/>
    <w:rsid w:val="00671142"/>
    <w:rsid w:val="00684D74"/>
    <w:rsid w:val="00692638"/>
    <w:rsid w:val="006A515C"/>
    <w:rsid w:val="006B461A"/>
    <w:rsid w:val="006D5D3D"/>
    <w:rsid w:val="006E172C"/>
    <w:rsid w:val="006E3FF2"/>
    <w:rsid w:val="00713F00"/>
    <w:rsid w:val="00727E12"/>
    <w:rsid w:val="00754238"/>
    <w:rsid w:val="00780833"/>
    <w:rsid w:val="007839C7"/>
    <w:rsid w:val="007973AA"/>
    <w:rsid w:val="007A189B"/>
    <w:rsid w:val="007B2A57"/>
    <w:rsid w:val="007B4F31"/>
    <w:rsid w:val="007D3F47"/>
    <w:rsid w:val="007D4BF8"/>
    <w:rsid w:val="007E44ED"/>
    <w:rsid w:val="007F4448"/>
    <w:rsid w:val="00814233"/>
    <w:rsid w:val="00851DBE"/>
    <w:rsid w:val="008616E3"/>
    <w:rsid w:val="00895D7D"/>
    <w:rsid w:val="008B329A"/>
    <w:rsid w:val="008B5FF1"/>
    <w:rsid w:val="008C6BB4"/>
    <w:rsid w:val="008F0A7E"/>
    <w:rsid w:val="00910E62"/>
    <w:rsid w:val="009133C8"/>
    <w:rsid w:val="009224AA"/>
    <w:rsid w:val="00922C64"/>
    <w:rsid w:val="00952683"/>
    <w:rsid w:val="00954ABB"/>
    <w:rsid w:val="00957D4E"/>
    <w:rsid w:val="00965FC4"/>
    <w:rsid w:val="00977A21"/>
    <w:rsid w:val="009A0000"/>
    <w:rsid w:val="009A0E1D"/>
    <w:rsid w:val="009A1101"/>
    <w:rsid w:val="009C796C"/>
    <w:rsid w:val="009D2C49"/>
    <w:rsid w:val="009E0866"/>
    <w:rsid w:val="009E7C70"/>
    <w:rsid w:val="00A01E85"/>
    <w:rsid w:val="00A20E30"/>
    <w:rsid w:val="00A30493"/>
    <w:rsid w:val="00A30BB4"/>
    <w:rsid w:val="00A3725A"/>
    <w:rsid w:val="00A546DE"/>
    <w:rsid w:val="00AB2595"/>
    <w:rsid w:val="00AF4735"/>
    <w:rsid w:val="00B37D1A"/>
    <w:rsid w:val="00B64D42"/>
    <w:rsid w:val="00B75902"/>
    <w:rsid w:val="00BA0FDF"/>
    <w:rsid w:val="00BA3E2D"/>
    <w:rsid w:val="00BB3984"/>
    <w:rsid w:val="00BB7B61"/>
    <w:rsid w:val="00BC7594"/>
    <w:rsid w:val="00BF0511"/>
    <w:rsid w:val="00BF238F"/>
    <w:rsid w:val="00C022D7"/>
    <w:rsid w:val="00C30C45"/>
    <w:rsid w:val="00C42B87"/>
    <w:rsid w:val="00C54150"/>
    <w:rsid w:val="00C57990"/>
    <w:rsid w:val="00C60E8F"/>
    <w:rsid w:val="00C64F99"/>
    <w:rsid w:val="00C66F69"/>
    <w:rsid w:val="00C74D3A"/>
    <w:rsid w:val="00D10D73"/>
    <w:rsid w:val="00D47A25"/>
    <w:rsid w:val="00D64920"/>
    <w:rsid w:val="00DA3A12"/>
    <w:rsid w:val="00E44339"/>
    <w:rsid w:val="00E66BCB"/>
    <w:rsid w:val="00E9054C"/>
    <w:rsid w:val="00EB303A"/>
    <w:rsid w:val="00EE766E"/>
    <w:rsid w:val="00EF2664"/>
    <w:rsid w:val="00F07E59"/>
    <w:rsid w:val="00F144D3"/>
    <w:rsid w:val="00F168AB"/>
    <w:rsid w:val="00F35DDF"/>
    <w:rsid w:val="00F373A4"/>
    <w:rsid w:val="00F46AD6"/>
    <w:rsid w:val="00F8556E"/>
    <w:rsid w:val="00FA0DCD"/>
    <w:rsid w:val="00FB1997"/>
    <w:rsid w:val="00FC0F83"/>
    <w:rsid w:val="00FF1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31"/>
    <w:pPr>
      <w:suppressAutoHyphens/>
    </w:pPr>
    <w:rPr>
      <w:sz w:val="24"/>
      <w:szCs w:val="24"/>
      <w:lang w:val="en-US" w:eastAsia="ar-SA"/>
    </w:rPr>
  </w:style>
  <w:style w:type="paragraph" w:styleId="Heading1">
    <w:name w:val="heading 1"/>
    <w:basedOn w:val="Normal"/>
    <w:next w:val="Normal"/>
    <w:qFormat/>
    <w:rsid w:val="007B4F31"/>
    <w:pPr>
      <w:keepNext/>
      <w:tabs>
        <w:tab w:val="left" w:pos="0"/>
      </w:tabs>
      <w:outlineLvl w:val="0"/>
    </w:pPr>
    <w:rPr>
      <w:rFonts w:ascii="Arial" w:eastAsia="MS Mincho" w:hAnsi="Arial" w:cs="Arial"/>
      <w:b/>
      <w:bCs/>
      <w:sz w:val="22"/>
    </w:rPr>
  </w:style>
  <w:style w:type="paragraph" w:styleId="Heading5">
    <w:name w:val="heading 5"/>
    <w:basedOn w:val="Normal"/>
    <w:next w:val="Normal"/>
    <w:qFormat/>
    <w:rsid w:val="007B4F31"/>
    <w:pPr>
      <w:keepNext/>
      <w:tabs>
        <w:tab w:val="num" w:pos="0"/>
        <w:tab w:val="left" w:pos="2160"/>
      </w:tabs>
      <w:ind w:left="540"/>
      <w:jc w:val="both"/>
      <w:outlineLvl w:val="4"/>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7B4F31"/>
  </w:style>
  <w:style w:type="character" w:customStyle="1" w:styleId="Absatz-Standardschriftart">
    <w:name w:val="Absatz-Standardschriftart"/>
    <w:rsid w:val="007B4F31"/>
  </w:style>
  <w:style w:type="character" w:customStyle="1" w:styleId="WW-Absatz-Standardschriftart">
    <w:name w:val="WW-Absatz-Standardschriftart"/>
    <w:rsid w:val="007B4F31"/>
  </w:style>
  <w:style w:type="character" w:customStyle="1" w:styleId="WW-DefaultParagraphFont1">
    <w:name w:val="WW-Default Paragraph Font1"/>
    <w:rsid w:val="007B4F31"/>
  </w:style>
  <w:style w:type="character" w:customStyle="1" w:styleId="WW-DefaultParagraphFont11">
    <w:name w:val="WW-Default Paragraph Font11"/>
    <w:rsid w:val="007B4F31"/>
  </w:style>
  <w:style w:type="character" w:customStyle="1" w:styleId="WW-Absatz-Standardschriftart1">
    <w:name w:val="WW-Absatz-Standardschriftart1"/>
    <w:rsid w:val="007B4F31"/>
  </w:style>
  <w:style w:type="character" w:customStyle="1" w:styleId="WW-Absatz-Standardschriftart11">
    <w:name w:val="WW-Absatz-Standardschriftart11"/>
    <w:rsid w:val="007B4F31"/>
  </w:style>
  <w:style w:type="character" w:customStyle="1" w:styleId="WW-Absatz-Standardschriftart111">
    <w:name w:val="WW-Absatz-Standardschriftart111"/>
    <w:rsid w:val="007B4F31"/>
  </w:style>
  <w:style w:type="character" w:customStyle="1" w:styleId="WW-Absatz-Standardschriftart1111">
    <w:name w:val="WW-Absatz-Standardschriftart1111"/>
    <w:rsid w:val="007B4F31"/>
  </w:style>
  <w:style w:type="character" w:customStyle="1" w:styleId="WW-Absatz-Standardschriftart11111">
    <w:name w:val="WW-Absatz-Standardschriftart11111"/>
    <w:rsid w:val="007B4F31"/>
  </w:style>
  <w:style w:type="character" w:customStyle="1" w:styleId="WW-DefaultParagraphFont111">
    <w:name w:val="WW-Default Paragraph Font111"/>
    <w:rsid w:val="007B4F31"/>
  </w:style>
  <w:style w:type="character" w:customStyle="1" w:styleId="WW-Absatz-Standardschriftart111111">
    <w:name w:val="WW-Absatz-Standardschriftart111111"/>
    <w:rsid w:val="007B4F31"/>
  </w:style>
  <w:style w:type="character" w:customStyle="1" w:styleId="WW-Absatz-Standardschriftart1111111">
    <w:name w:val="WW-Absatz-Standardschriftart1111111"/>
    <w:rsid w:val="007B4F31"/>
  </w:style>
  <w:style w:type="character" w:customStyle="1" w:styleId="WW-Absatz-Standardschriftart11111111">
    <w:name w:val="WW-Absatz-Standardschriftart11111111"/>
    <w:rsid w:val="007B4F31"/>
  </w:style>
  <w:style w:type="character" w:customStyle="1" w:styleId="WW-Absatz-Standardschriftart111111111">
    <w:name w:val="WW-Absatz-Standardschriftart111111111"/>
    <w:rsid w:val="007B4F31"/>
  </w:style>
  <w:style w:type="character" w:customStyle="1" w:styleId="WW-Absatz-Standardschriftart1111111111">
    <w:name w:val="WW-Absatz-Standardschriftart1111111111"/>
    <w:rsid w:val="007B4F31"/>
  </w:style>
  <w:style w:type="character" w:customStyle="1" w:styleId="WW-Absatz-Standardschriftart11111111111">
    <w:name w:val="WW-Absatz-Standardschriftart11111111111"/>
    <w:rsid w:val="007B4F31"/>
  </w:style>
  <w:style w:type="character" w:customStyle="1" w:styleId="WW-Absatz-Standardschriftart111111111111">
    <w:name w:val="WW-Absatz-Standardschriftart111111111111"/>
    <w:rsid w:val="007B4F31"/>
  </w:style>
  <w:style w:type="character" w:customStyle="1" w:styleId="WW-Absatz-Standardschriftart1111111111111">
    <w:name w:val="WW-Absatz-Standardschriftart1111111111111"/>
    <w:rsid w:val="007B4F31"/>
  </w:style>
  <w:style w:type="character" w:customStyle="1" w:styleId="WW-Absatz-Standardschriftart11111111111111">
    <w:name w:val="WW-Absatz-Standardschriftart11111111111111"/>
    <w:rsid w:val="007B4F31"/>
  </w:style>
  <w:style w:type="character" w:customStyle="1" w:styleId="DefaultParagraphFont2">
    <w:name w:val="Default Paragraph Font2"/>
    <w:rsid w:val="007B4F31"/>
  </w:style>
  <w:style w:type="character" w:styleId="PageNumber">
    <w:name w:val="page number"/>
    <w:basedOn w:val="DefaultParagraphFont2"/>
    <w:rsid w:val="007B4F31"/>
  </w:style>
  <w:style w:type="character" w:customStyle="1" w:styleId="NumberingSymbols">
    <w:name w:val="Numbering Symbols"/>
    <w:rsid w:val="007B4F31"/>
  </w:style>
  <w:style w:type="character" w:customStyle="1" w:styleId="WW-Absatz-Standardschriftart111111111111111">
    <w:name w:val="WW-Absatz-Standardschriftart111111111111111"/>
    <w:rsid w:val="007B4F31"/>
  </w:style>
  <w:style w:type="character" w:customStyle="1" w:styleId="WW-Absatz-Standardschriftart1111111111111111">
    <w:name w:val="WW-Absatz-Standardschriftart1111111111111111"/>
    <w:rsid w:val="007B4F31"/>
  </w:style>
  <w:style w:type="character" w:customStyle="1" w:styleId="WW-Absatz-Standardschriftart11111111111111111">
    <w:name w:val="WW-Absatz-Standardschriftart11111111111111111"/>
    <w:rsid w:val="007B4F31"/>
  </w:style>
  <w:style w:type="character" w:customStyle="1" w:styleId="WW-Absatz-Standardschriftart111111111111111111">
    <w:name w:val="WW-Absatz-Standardschriftart111111111111111111"/>
    <w:rsid w:val="007B4F31"/>
  </w:style>
  <w:style w:type="character" w:customStyle="1" w:styleId="WW-Absatz-Standardschriftart1111111111111111111">
    <w:name w:val="WW-Absatz-Standardschriftart1111111111111111111"/>
    <w:rsid w:val="007B4F31"/>
  </w:style>
  <w:style w:type="character" w:customStyle="1" w:styleId="WW-Absatz-Standardschriftart11111111111111111111">
    <w:name w:val="WW-Absatz-Standardschriftart11111111111111111111"/>
    <w:rsid w:val="007B4F31"/>
  </w:style>
  <w:style w:type="character" w:customStyle="1" w:styleId="WW-Absatz-Standardschriftart111111111111111111111">
    <w:name w:val="WW-Absatz-Standardschriftart111111111111111111111"/>
    <w:rsid w:val="007B4F31"/>
  </w:style>
  <w:style w:type="character" w:customStyle="1" w:styleId="WW-Absatz-Standardschriftart1111111111111111111111">
    <w:name w:val="WW-Absatz-Standardschriftart1111111111111111111111"/>
    <w:rsid w:val="007B4F31"/>
  </w:style>
  <w:style w:type="character" w:customStyle="1" w:styleId="WW-Absatz-Standardschriftart11111111111111111111111">
    <w:name w:val="WW-Absatz-Standardschriftart11111111111111111111111"/>
    <w:rsid w:val="007B4F31"/>
  </w:style>
  <w:style w:type="character" w:customStyle="1" w:styleId="WW-Absatz-Standardschriftart111111111111111111111111">
    <w:name w:val="WW-Absatz-Standardschriftart111111111111111111111111"/>
    <w:rsid w:val="007B4F31"/>
  </w:style>
  <w:style w:type="character" w:customStyle="1" w:styleId="WW-Absatz-Standardschriftart1111111111111111111111111">
    <w:name w:val="WW-Absatz-Standardschriftart1111111111111111111111111"/>
    <w:rsid w:val="007B4F31"/>
  </w:style>
  <w:style w:type="character" w:customStyle="1" w:styleId="WW-Absatz-Standardschriftart11111111111111111111111111">
    <w:name w:val="WW-Absatz-Standardschriftart11111111111111111111111111"/>
    <w:rsid w:val="007B4F31"/>
  </w:style>
  <w:style w:type="character" w:customStyle="1" w:styleId="WW-Absatz-Standardschriftart111111111111111111111111111">
    <w:name w:val="WW-Absatz-Standardschriftart111111111111111111111111111"/>
    <w:rsid w:val="007B4F31"/>
  </w:style>
  <w:style w:type="character" w:customStyle="1" w:styleId="WW-Absatz-Standardschriftart1111111111111111111111111111">
    <w:name w:val="WW-Absatz-Standardschriftart1111111111111111111111111111"/>
    <w:rsid w:val="007B4F31"/>
  </w:style>
  <w:style w:type="character" w:customStyle="1" w:styleId="WW-Absatz-Standardschriftart11111111111111111111111111111">
    <w:name w:val="WW-Absatz-Standardschriftart11111111111111111111111111111"/>
    <w:rsid w:val="007B4F31"/>
  </w:style>
  <w:style w:type="character" w:customStyle="1" w:styleId="WW-Absatz-Standardschriftart111111111111111111111111111111">
    <w:name w:val="WW-Absatz-Standardschriftart111111111111111111111111111111"/>
    <w:rsid w:val="007B4F31"/>
  </w:style>
  <w:style w:type="character" w:customStyle="1" w:styleId="WW-Absatz-Standardschriftart1111111111111111111111111111111">
    <w:name w:val="WW-Absatz-Standardschriftart1111111111111111111111111111111"/>
    <w:rsid w:val="007B4F31"/>
  </w:style>
  <w:style w:type="character" w:customStyle="1" w:styleId="WW-Absatz-Standardschriftart11111111111111111111111111111111">
    <w:name w:val="WW-Absatz-Standardschriftart11111111111111111111111111111111"/>
    <w:rsid w:val="007B4F31"/>
  </w:style>
  <w:style w:type="character" w:customStyle="1" w:styleId="WW-Absatz-Standardschriftart111111111111111111111111111111111">
    <w:name w:val="WW-Absatz-Standardschriftart111111111111111111111111111111111"/>
    <w:rsid w:val="007B4F31"/>
  </w:style>
  <w:style w:type="character" w:customStyle="1" w:styleId="WW-Absatz-Standardschriftart1111111111111111111111111111111111">
    <w:name w:val="WW-Absatz-Standardschriftart1111111111111111111111111111111111"/>
    <w:rsid w:val="007B4F31"/>
  </w:style>
  <w:style w:type="character" w:customStyle="1" w:styleId="WW-DefaultParagraphFont1111">
    <w:name w:val="WW-Default Paragraph Font1111"/>
    <w:rsid w:val="007B4F31"/>
  </w:style>
  <w:style w:type="character" w:styleId="HTMLTypewriter">
    <w:name w:val="HTML Typewriter"/>
    <w:basedOn w:val="WW-DefaultParagraphFont1111"/>
    <w:rsid w:val="007B4F31"/>
    <w:rPr>
      <w:rFonts w:ascii="Courier New" w:eastAsia="Courier New" w:hAnsi="Courier New" w:cs="Courier New"/>
      <w:sz w:val="20"/>
      <w:szCs w:val="20"/>
    </w:rPr>
  </w:style>
  <w:style w:type="paragraph" w:customStyle="1" w:styleId="Heading">
    <w:name w:val="Heading"/>
    <w:basedOn w:val="Normal"/>
    <w:next w:val="BodyText"/>
    <w:rsid w:val="007B4F31"/>
    <w:pPr>
      <w:keepNext/>
      <w:spacing w:before="240" w:after="120"/>
    </w:pPr>
    <w:rPr>
      <w:rFonts w:ascii="Arial" w:eastAsia="Lucida Sans Unicode" w:hAnsi="Arial" w:cs="Tahoma"/>
      <w:sz w:val="28"/>
      <w:szCs w:val="28"/>
    </w:rPr>
  </w:style>
  <w:style w:type="paragraph" w:styleId="BodyText">
    <w:name w:val="Body Text"/>
    <w:basedOn w:val="Normal"/>
    <w:rsid w:val="007B4F31"/>
    <w:pPr>
      <w:spacing w:after="120"/>
    </w:pPr>
  </w:style>
  <w:style w:type="paragraph" w:styleId="List">
    <w:name w:val="List"/>
    <w:basedOn w:val="BodyText"/>
    <w:rsid w:val="007B4F31"/>
    <w:rPr>
      <w:rFonts w:cs="Tahoma"/>
    </w:rPr>
  </w:style>
  <w:style w:type="paragraph" w:styleId="Caption">
    <w:name w:val="caption"/>
    <w:basedOn w:val="Normal"/>
    <w:qFormat/>
    <w:rsid w:val="007B4F31"/>
    <w:pPr>
      <w:suppressLineNumbers/>
      <w:spacing w:before="120" w:after="120"/>
    </w:pPr>
    <w:rPr>
      <w:rFonts w:cs="Tahoma"/>
      <w:i/>
      <w:iCs/>
    </w:rPr>
  </w:style>
  <w:style w:type="paragraph" w:customStyle="1" w:styleId="Index">
    <w:name w:val="Index"/>
    <w:basedOn w:val="Normal"/>
    <w:rsid w:val="007B4F31"/>
    <w:pPr>
      <w:suppressLineNumbers/>
    </w:pPr>
    <w:rPr>
      <w:rFonts w:cs="Tahoma"/>
    </w:rPr>
  </w:style>
  <w:style w:type="paragraph" w:styleId="Header">
    <w:name w:val="header"/>
    <w:basedOn w:val="Normal"/>
    <w:rsid w:val="007B4F31"/>
    <w:pPr>
      <w:tabs>
        <w:tab w:val="center" w:pos="4320"/>
        <w:tab w:val="right" w:pos="8640"/>
      </w:tabs>
    </w:pPr>
  </w:style>
  <w:style w:type="paragraph" w:styleId="Footer">
    <w:name w:val="footer"/>
    <w:basedOn w:val="Normal"/>
    <w:rsid w:val="007B4F31"/>
    <w:pPr>
      <w:tabs>
        <w:tab w:val="center" w:pos="4320"/>
        <w:tab w:val="right" w:pos="8640"/>
      </w:tabs>
    </w:pPr>
  </w:style>
  <w:style w:type="paragraph" w:customStyle="1" w:styleId="TableContents">
    <w:name w:val="Table Contents"/>
    <w:basedOn w:val="Normal"/>
    <w:rsid w:val="007B4F31"/>
    <w:pPr>
      <w:suppressLineNumbers/>
    </w:pPr>
  </w:style>
  <w:style w:type="paragraph" w:customStyle="1" w:styleId="TableHeading">
    <w:name w:val="Table Heading"/>
    <w:basedOn w:val="TableContents"/>
    <w:rsid w:val="007B4F31"/>
    <w:pPr>
      <w:jc w:val="center"/>
    </w:pPr>
    <w:rPr>
      <w:b/>
      <w:bCs/>
    </w:rPr>
  </w:style>
  <w:style w:type="paragraph" w:customStyle="1" w:styleId="Framecontents">
    <w:name w:val="Frame contents"/>
    <w:basedOn w:val="BodyText"/>
    <w:rsid w:val="007B4F31"/>
  </w:style>
  <w:style w:type="paragraph" w:styleId="PlainText">
    <w:name w:val="Plain Text"/>
    <w:basedOn w:val="Normal"/>
    <w:rsid w:val="007B4F31"/>
    <w:rPr>
      <w:rFonts w:ascii="Courier New" w:hAnsi="Courier New" w:cs="Courier New"/>
      <w:sz w:val="20"/>
      <w:szCs w:val="20"/>
    </w:rPr>
  </w:style>
  <w:style w:type="paragraph" w:styleId="HTMLPreformatted">
    <w:name w:val="HTML Preformatted"/>
    <w:basedOn w:val="Normal"/>
    <w:rsid w:val="007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ubtitle">
    <w:name w:val="Subtitle"/>
    <w:basedOn w:val="Normal"/>
    <w:next w:val="BodyText"/>
    <w:qFormat/>
    <w:rsid w:val="007B4F31"/>
    <w:rPr>
      <w:b/>
    </w:rPr>
  </w:style>
  <w:style w:type="paragraph" w:customStyle="1" w:styleId="PreformattedText">
    <w:name w:val="Preformatted Text"/>
    <w:basedOn w:val="Normal"/>
    <w:rsid w:val="007B4F31"/>
    <w:rPr>
      <w:rFonts w:ascii="Courier New" w:hAnsi="Courier New"/>
      <w:sz w:val="20"/>
    </w:rPr>
  </w:style>
  <w:style w:type="paragraph" w:styleId="NormalWeb">
    <w:name w:val="Normal (Web)"/>
    <w:basedOn w:val="Normal"/>
    <w:rsid w:val="007B4F31"/>
    <w:pPr>
      <w:suppressAutoHyphens w:val="0"/>
      <w:spacing w:before="280" w:after="115"/>
    </w:pPr>
  </w:style>
  <w:style w:type="table" w:styleId="TableGrid">
    <w:name w:val="Table Grid"/>
    <w:basedOn w:val="TableNormal"/>
    <w:rsid w:val="0066367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4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SRI KANNAPIRAN MILLS LIMITED</vt:lpstr>
    </vt:vector>
  </TitlesOfParts>
  <Company>HOME</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KANNAPIRAN MILLS LIMITED</dc:title>
  <dc:creator>abc</dc:creator>
  <cp:lastModifiedBy>SRMC</cp:lastModifiedBy>
  <cp:revision>4</cp:revision>
  <cp:lastPrinted>2014-05-24T11:05:00Z</cp:lastPrinted>
  <dcterms:created xsi:type="dcterms:W3CDTF">2015-07-09T04:14:00Z</dcterms:created>
  <dcterms:modified xsi:type="dcterms:W3CDTF">2015-09-02T10:38:00Z</dcterms:modified>
</cp:coreProperties>
</file>